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4D6FD157" w:rsidR="0012209D" w:rsidRDefault="00F71805" w:rsidP="00321CAA">
            <w:r>
              <w:t>December 2020</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2"/>
        <w:gridCol w:w="4546"/>
        <w:gridCol w:w="845"/>
        <w:gridCol w:w="1724"/>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0DC19B77" w:rsidR="0012209D" w:rsidRPr="00447FD8" w:rsidRDefault="000F6959" w:rsidP="0065560D">
            <w:pPr>
              <w:rPr>
                <w:b/>
                <w:bCs/>
              </w:rPr>
            </w:pPr>
            <w:r>
              <w:rPr>
                <w:b/>
                <w:bCs/>
              </w:rPr>
              <w:t>Director</w:t>
            </w:r>
            <w:r w:rsidR="005F7334">
              <w:rPr>
                <w:b/>
                <w:bCs/>
              </w:rPr>
              <w:t xml:space="preserve"> of </w:t>
            </w:r>
            <w:r w:rsidR="00772584">
              <w:rPr>
                <w:b/>
                <w:bCs/>
              </w:rPr>
              <w:t xml:space="preserve">Knowledge Exchange and </w:t>
            </w:r>
            <w:r w:rsidR="005F7334">
              <w:rPr>
                <w:b/>
                <w:bCs/>
              </w:rPr>
              <w:t>Enterprise</w:t>
            </w:r>
          </w:p>
        </w:tc>
      </w:tr>
      <w:tr w:rsidR="0012209D" w14:paraId="15BF0875" w14:textId="77777777" w:rsidTr="00D3349E">
        <w:tc>
          <w:tcPr>
            <w:tcW w:w="2525" w:type="dxa"/>
            <w:shd w:val="clear" w:color="auto" w:fill="D9D9D9" w:themeFill="background1" w:themeFillShade="D9"/>
          </w:tcPr>
          <w:p w14:paraId="15BF0873" w14:textId="733DCFEE" w:rsidR="0012209D" w:rsidRDefault="000374A6" w:rsidP="00321CAA">
            <w:r>
              <w:t>School/Department</w:t>
            </w:r>
            <w:r w:rsidR="0012209D">
              <w:t>:</w:t>
            </w:r>
          </w:p>
        </w:tc>
        <w:tc>
          <w:tcPr>
            <w:tcW w:w="7226" w:type="dxa"/>
            <w:gridSpan w:val="3"/>
          </w:tcPr>
          <w:p w14:paraId="15BF0874" w14:textId="0211548B" w:rsidR="0012209D" w:rsidRDefault="00206045" w:rsidP="00321CAA">
            <w:r>
              <w:t>Southampton Business School</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2739E639" w:rsidR="00746AEB" w:rsidRDefault="00206045" w:rsidP="00321CAA">
            <w:r>
              <w:t>Social Sciences</w:t>
            </w:r>
          </w:p>
        </w:tc>
      </w:tr>
      <w:tr w:rsidR="0012209D" w14:paraId="15BF087A" w14:textId="77777777" w:rsidTr="00E37792">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620" w:type="dxa"/>
          </w:tcPr>
          <w:p w14:paraId="15BF0877" w14:textId="76EFE981" w:rsidR="0012209D" w:rsidRDefault="009D7C0D" w:rsidP="00FF246F">
            <w:r>
              <w:t>Education, Research and Enterprise</w:t>
            </w:r>
            <w:r w:rsidR="00E37792">
              <w:t xml:space="preserve"> </w:t>
            </w:r>
            <w:r>
              <w:t>(ERE</w:t>
            </w:r>
            <w:r w:rsidR="00E37792">
              <w:t>)</w:t>
            </w:r>
          </w:p>
        </w:tc>
        <w:tc>
          <w:tcPr>
            <w:tcW w:w="850" w:type="dxa"/>
            <w:shd w:val="clear" w:color="auto" w:fill="D9D9D9" w:themeFill="background1" w:themeFillShade="D9"/>
          </w:tcPr>
          <w:p w14:paraId="15BF0878" w14:textId="77777777" w:rsidR="0012209D" w:rsidRDefault="0012209D" w:rsidP="00321CAA">
            <w:r>
              <w:t>Level:</w:t>
            </w:r>
          </w:p>
        </w:tc>
        <w:tc>
          <w:tcPr>
            <w:tcW w:w="1756" w:type="dxa"/>
          </w:tcPr>
          <w:p w14:paraId="15BF0879" w14:textId="7F0DDD59" w:rsidR="0012209D" w:rsidRDefault="009D7C0D" w:rsidP="00321CAA">
            <w:r>
              <w:t>7</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698A2CBC" w:rsidR="0012209D" w:rsidRDefault="008F4754" w:rsidP="00FF246F">
            <w:r>
              <w:t>Enterprise</w:t>
            </w:r>
            <w:r w:rsidR="000C2540">
              <w:t xml:space="preserve"> pathway</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483180DD" w:rsidR="0012209D" w:rsidRPr="005508A2" w:rsidRDefault="00206045" w:rsidP="00321CAA">
            <w:r>
              <w:t xml:space="preserve">Head of </w:t>
            </w:r>
            <w:r w:rsidR="00772584">
              <w:t>School</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24B84DAD" w:rsidR="0012209D" w:rsidRPr="005508A2" w:rsidRDefault="0012209D" w:rsidP="00321CAA"/>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3E137125" w:rsidR="0012209D" w:rsidRPr="005508A2" w:rsidRDefault="0012209D" w:rsidP="00321CAA">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72410B95" w14:textId="018CD68D" w:rsidR="003D6639" w:rsidRDefault="003D6639" w:rsidP="003D6639">
            <w:r w:rsidRPr="00401EAA">
              <w:t xml:space="preserve">To </w:t>
            </w:r>
            <w:r>
              <w:t xml:space="preserve">provide strategic and operational leadership of the </w:t>
            </w:r>
            <w:r w:rsidR="00772584">
              <w:t xml:space="preserve">Knowledge Exchange and </w:t>
            </w:r>
            <w:r>
              <w:t>Enterprise area within the Southampton Business School.</w:t>
            </w:r>
          </w:p>
          <w:p w14:paraId="446655E1" w14:textId="77777777" w:rsidR="003D6639" w:rsidRDefault="003D6639" w:rsidP="003D6639"/>
          <w:p w14:paraId="24F9713B" w14:textId="77777777" w:rsidR="003D6639" w:rsidRPr="00F83131" w:rsidRDefault="003D6639" w:rsidP="003D6639">
            <w:pPr>
              <w:numPr>
                <w:ilvl w:val="0"/>
                <w:numId w:val="19"/>
              </w:numPr>
            </w:pPr>
            <w:r w:rsidRPr="00F83131">
              <w:t>Facilitate the key strategic goal of utilising the expertise of colleagues in the school to co-create sustainable solutions with regional and global organisations that change the world for the better.</w:t>
            </w:r>
          </w:p>
          <w:p w14:paraId="1079ABC5" w14:textId="27274264" w:rsidR="003D6639" w:rsidRPr="00F83131" w:rsidRDefault="002E6049" w:rsidP="003D6639">
            <w:pPr>
              <w:numPr>
                <w:ilvl w:val="0"/>
                <w:numId w:val="19"/>
              </w:numPr>
            </w:pPr>
            <w:r>
              <w:t xml:space="preserve">Plan and </w:t>
            </w:r>
            <w:r w:rsidR="003D6639" w:rsidRPr="00F83131">
              <w:t xml:space="preserve">support the implementation of activities for the effectiveness of enterprise processes, including KEF (Knowledge Exchange Framework) and monitoring. </w:t>
            </w:r>
          </w:p>
          <w:p w14:paraId="26BF550C" w14:textId="282ABBF0" w:rsidR="003D6639" w:rsidRPr="00F83131" w:rsidRDefault="003D6639" w:rsidP="003D6639">
            <w:pPr>
              <w:numPr>
                <w:ilvl w:val="0"/>
                <w:numId w:val="19"/>
              </w:numPr>
            </w:pPr>
            <w:r w:rsidRPr="00F83131">
              <w:t>Support the impact of the school research and educational activities through the identification of enterprise opportunities, engagement with external stakeholders and the dissemination of best practice</w:t>
            </w:r>
            <w:r w:rsidR="002E6049">
              <w:t>s</w:t>
            </w:r>
            <w:r w:rsidRPr="00F83131">
              <w:t xml:space="preserve"> in enterprise.</w:t>
            </w:r>
          </w:p>
          <w:p w14:paraId="152E74D8" w14:textId="0A78B637" w:rsidR="003D6639" w:rsidRDefault="00772584" w:rsidP="003D6639">
            <w:pPr>
              <w:numPr>
                <w:ilvl w:val="0"/>
                <w:numId w:val="19"/>
              </w:numPr>
            </w:pPr>
            <w:r>
              <w:t xml:space="preserve">Strategic planning of </w:t>
            </w:r>
            <w:r w:rsidR="003D6639" w:rsidRPr="00F83131">
              <w:t xml:space="preserve">the school’s executive education strategy, </w:t>
            </w:r>
            <w:r>
              <w:t xml:space="preserve">implementation of </w:t>
            </w:r>
            <w:r w:rsidR="003D6639" w:rsidRPr="00F83131">
              <w:t>programmes and</w:t>
            </w:r>
            <w:r>
              <w:t xml:space="preserve"> support to the</w:t>
            </w:r>
            <w:r w:rsidR="003D6639" w:rsidRPr="00F83131">
              <w:t xml:space="preserve"> delivery plans.</w:t>
            </w:r>
          </w:p>
          <w:p w14:paraId="53F30F28" w14:textId="2ADD1014" w:rsidR="002E6049" w:rsidRPr="00F83131" w:rsidRDefault="00D326A0" w:rsidP="003D6639">
            <w:pPr>
              <w:numPr>
                <w:ilvl w:val="0"/>
                <w:numId w:val="19"/>
              </w:numPr>
            </w:pPr>
            <w:r>
              <w:t xml:space="preserve">Plan and implement an agenda for societal impact. </w:t>
            </w:r>
          </w:p>
          <w:p w14:paraId="15BF088B" w14:textId="083DC62F" w:rsidR="005D3265" w:rsidRPr="00ED5E46" w:rsidRDefault="005D3265" w:rsidP="003D6639">
            <w:pPr>
              <w:rPr>
                <w:color w:val="FF0000"/>
              </w:rPr>
            </w:pPr>
          </w:p>
        </w:tc>
      </w:tr>
    </w:tbl>
    <w:p w14:paraId="15BF088D" w14:textId="77777777" w:rsidR="0012209D" w:rsidRDefault="0012209D" w:rsidP="0012209D"/>
    <w:tbl>
      <w:tblPr>
        <w:tblStyle w:val="SUTable"/>
        <w:tblW w:w="0" w:type="auto"/>
        <w:tblLook w:val="04A0" w:firstRow="1" w:lastRow="0" w:firstColumn="1" w:lastColumn="0" w:noHBand="0" w:noVBand="1"/>
      </w:tblPr>
      <w:tblGrid>
        <w:gridCol w:w="596"/>
        <w:gridCol w:w="8015"/>
        <w:gridCol w:w="1016"/>
      </w:tblGrid>
      <w:tr w:rsidR="0012209D" w14:paraId="15BF0890" w14:textId="77777777" w:rsidTr="00A700A6">
        <w:trPr>
          <w:cantSplit/>
          <w:tblHeader/>
        </w:trPr>
        <w:tc>
          <w:tcPr>
            <w:tcW w:w="8611" w:type="dxa"/>
            <w:gridSpan w:val="2"/>
            <w:shd w:val="clear" w:color="auto" w:fill="D9D9D9" w:themeFill="background1" w:themeFillShade="D9"/>
          </w:tcPr>
          <w:p w14:paraId="15BF088E" w14:textId="77777777" w:rsidR="0012209D" w:rsidRDefault="0012209D" w:rsidP="00321CAA">
            <w:r>
              <w:lastRenderedPageBreak/>
              <w:t>Key accountabilities/primary responsibilities</w:t>
            </w:r>
          </w:p>
        </w:tc>
        <w:tc>
          <w:tcPr>
            <w:tcW w:w="1016" w:type="dxa"/>
            <w:shd w:val="clear" w:color="auto" w:fill="D9D9D9" w:themeFill="background1" w:themeFillShade="D9"/>
          </w:tcPr>
          <w:p w14:paraId="15BF088F" w14:textId="77777777" w:rsidR="0012209D" w:rsidRDefault="0012209D" w:rsidP="00321CAA">
            <w:r>
              <w:t>% Time</w:t>
            </w:r>
          </w:p>
        </w:tc>
      </w:tr>
      <w:tr w:rsidR="003D6639" w14:paraId="5F350ABC" w14:textId="77777777" w:rsidTr="00A700A6">
        <w:trPr>
          <w:cantSplit/>
        </w:trPr>
        <w:tc>
          <w:tcPr>
            <w:tcW w:w="596" w:type="dxa"/>
            <w:tcBorders>
              <w:right w:val="nil"/>
            </w:tcBorders>
          </w:tcPr>
          <w:p w14:paraId="2491CD04" w14:textId="77777777" w:rsidR="003D6639" w:rsidRDefault="003D6639" w:rsidP="003D6639">
            <w:pPr>
              <w:pStyle w:val="ListParagraph"/>
              <w:numPr>
                <w:ilvl w:val="0"/>
                <w:numId w:val="17"/>
              </w:numPr>
            </w:pPr>
          </w:p>
        </w:tc>
        <w:tc>
          <w:tcPr>
            <w:tcW w:w="8015" w:type="dxa"/>
            <w:tcBorders>
              <w:left w:val="nil"/>
            </w:tcBorders>
          </w:tcPr>
          <w:p w14:paraId="6C1913A9" w14:textId="77777777" w:rsidR="003D6639" w:rsidRPr="00681B7C" w:rsidRDefault="003D6639" w:rsidP="003D6639">
            <w:pPr>
              <w:rPr>
                <w:b/>
              </w:rPr>
            </w:pPr>
            <w:r w:rsidRPr="00681B7C">
              <w:rPr>
                <w:b/>
              </w:rPr>
              <w:t>Leadership and Enterprise</w:t>
            </w:r>
          </w:p>
          <w:p w14:paraId="19141DD4" w14:textId="657D5632" w:rsidR="003D6639" w:rsidRDefault="003D6639" w:rsidP="003D6639">
            <w:r w:rsidRPr="00F83131">
              <w:t xml:space="preserve">Lead, manage, and promote the development of the school’s </w:t>
            </w:r>
            <w:r w:rsidR="00772584">
              <w:t>Knowledge Exchange and E</w:t>
            </w:r>
            <w:r w:rsidRPr="00F83131">
              <w:t>nterprise strategy and related delivery plans</w:t>
            </w:r>
            <w:r w:rsidR="001579E2">
              <w:t xml:space="preserve"> that support the </w:t>
            </w:r>
            <w:r w:rsidR="00D326A0">
              <w:t>School/</w:t>
            </w:r>
            <w:r w:rsidR="001579E2">
              <w:t>University deliver</w:t>
            </w:r>
            <w:r w:rsidR="00D326A0">
              <w:t>y</w:t>
            </w:r>
            <w:r w:rsidR="001579E2">
              <w:t xml:space="preserve"> plans for the</w:t>
            </w:r>
            <w:r w:rsidR="00406406">
              <w:t xml:space="preserve"> Knowledge Exchange and Enterprise</w:t>
            </w:r>
            <w:r w:rsidRPr="00F83131">
              <w:t>.</w:t>
            </w:r>
            <w:r>
              <w:t xml:space="preserve">  </w:t>
            </w:r>
            <w:r w:rsidRPr="00401EAA">
              <w:t>Take responsibility for the</w:t>
            </w:r>
            <w:r>
              <w:t xml:space="preserve"> strategy</w:t>
            </w:r>
            <w:r w:rsidRPr="00401EAA">
              <w:t>, continually monitoring, evaluating and revising to ensure excellence and coherence, identifying areas where current provision is in need of revision or improvement.</w:t>
            </w:r>
            <w:r>
              <w:t xml:space="preserve"> </w:t>
            </w:r>
          </w:p>
          <w:p w14:paraId="33C902FE" w14:textId="77777777" w:rsidR="003D6639" w:rsidRDefault="003D6639" w:rsidP="003D6639">
            <w:r>
              <w:t>W</w:t>
            </w:r>
            <w:r w:rsidRPr="005C5812">
              <w:t>ork with the Head of School/Deputy Head of School for Research and other colleagues as directed by the Head of School, to support the identification of new enterprise opportunities and the diversification of income streams within the school.</w:t>
            </w:r>
          </w:p>
          <w:p w14:paraId="41848DDC" w14:textId="77777777" w:rsidR="003D6639" w:rsidRPr="005C5812" w:rsidRDefault="003D6639" w:rsidP="003D6639">
            <w:r w:rsidRPr="005C5812">
              <w:t xml:space="preserve">Work in collaboration with colleagues across the School and Faculty to share and harmonise good practice to ensure consistency, efficiency and effectiveness of enterprise processes.  </w:t>
            </w:r>
          </w:p>
          <w:p w14:paraId="1543049F" w14:textId="1460BB2C" w:rsidR="003D6639" w:rsidRPr="005C5812" w:rsidRDefault="003D6639" w:rsidP="003D6639">
            <w:r w:rsidRPr="005C5812">
              <w:t>Contribute to the School, Faculty and University level network working groups and committees, as appropriate, to support delivery of the School</w:t>
            </w:r>
            <w:r w:rsidR="00772584">
              <w:t xml:space="preserve">’s Knowledge Exchange and </w:t>
            </w:r>
            <w:r w:rsidRPr="005C5812">
              <w:t xml:space="preserve">Enterprise strategy. </w:t>
            </w:r>
          </w:p>
          <w:p w14:paraId="4714F71E" w14:textId="5FD24F0B" w:rsidR="003D6639" w:rsidRPr="005C5812" w:rsidRDefault="003D6639" w:rsidP="003D6639">
            <w:r w:rsidRPr="005C5812">
              <w:t xml:space="preserve">Ensure that effective processes are in place for governance, approvals, review and conduct of </w:t>
            </w:r>
            <w:r w:rsidR="00406406">
              <w:t>Knowledge Exchange and E</w:t>
            </w:r>
            <w:r w:rsidRPr="005C5812">
              <w:t>nterprise</w:t>
            </w:r>
            <w:r w:rsidR="00406406">
              <w:t xml:space="preserve"> activities</w:t>
            </w:r>
            <w:r w:rsidRPr="005C5812">
              <w:t>.</w:t>
            </w:r>
          </w:p>
          <w:p w14:paraId="0A590BF3" w14:textId="5DF935E3" w:rsidR="003D6639" w:rsidRDefault="003D6639" w:rsidP="003D6639">
            <w:r w:rsidRPr="005C5812">
              <w:t>K</w:t>
            </w:r>
            <w:r w:rsidR="001579E2">
              <w:t xml:space="preserve">nowledge </w:t>
            </w:r>
            <w:r w:rsidRPr="005C5812">
              <w:t>E</w:t>
            </w:r>
            <w:r w:rsidR="001579E2">
              <w:t xml:space="preserve">xchange </w:t>
            </w:r>
            <w:r w:rsidRPr="005C5812">
              <w:t>F</w:t>
            </w:r>
            <w:r w:rsidR="001579E2">
              <w:t>ramework (KEF)</w:t>
            </w:r>
            <w:r w:rsidRPr="005C5812">
              <w:t xml:space="preserve"> planning responsibilities: coordinate </w:t>
            </w:r>
            <w:r w:rsidR="00406406">
              <w:t xml:space="preserve">and support </w:t>
            </w:r>
            <w:r w:rsidRPr="005C5812">
              <w:t>the implementation of the University KEF planning and data collection across the school.</w:t>
            </w:r>
          </w:p>
          <w:p w14:paraId="1338A486" w14:textId="27596219" w:rsidR="00406406" w:rsidRDefault="00406406" w:rsidP="003D6639">
            <w:r>
              <w:t xml:space="preserve">CABS Small Business Charter (SBC) planning responsibilities: promote, coordinate and implement the delivery plans for the CABS SBC HTG:M programmes. </w:t>
            </w:r>
          </w:p>
          <w:p w14:paraId="0872C7FE" w14:textId="5E31E4FE" w:rsidR="003D6639" w:rsidRPr="00401EAA" w:rsidRDefault="003D6639" w:rsidP="003D6639">
            <w:r w:rsidRPr="00681B7C">
              <w:t xml:space="preserve">Facilitate and support the school’s accreditations efforts, especially </w:t>
            </w:r>
            <w:r w:rsidR="00D326A0" w:rsidRPr="00681B7C">
              <w:t>regarding</w:t>
            </w:r>
            <w:r w:rsidRPr="00681B7C">
              <w:t xml:space="preserve"> </w:t>
            </w:r>
            <w:r w:rsidR="00406406">
              <w:t xml:space="preserve">research </w:t>
            </w:r>
            <w:r w:rsidR="00406406" w:rsidRPr="00681B7C">
              <w:t>impact</w:t>
            </w:r>
            <w:r w:rsidR="00406406">
              <w:t xml:space="preserve"> (i.e., societal, business and industry impact)</w:t>
            </w:r>
            <w:r w:rsidRPr="00681B7C">
              <w:t>, corporate and professional connections</w:t>
            </w:r>
            <w:r w:rsidR="00772584">
              <w:t>, and student entrepreneurial skills</w:t>
            </w:r>
            <w:r w:rsidR="00406406">
              <w:t>,</w:t>
            </w:r>
            <w:r w:rsidR="00434133">
              <w:t xml:space="preserve"> and plan accordingly to </w:t>
            </w:r>
            <w:r w:rsidR="00772584">
              <w:t xml:space="preserve">particularly meet the </w:t>
            </w:r>
            <w:r w:rsidR="00434133">
              <w:t xml:space="preserve">relevant </w:t>
            </w:r>
            <w:r w:rsidR="00772584">
              <w:t xml:space="preserve">standards of the school’s accrediting bodies, such as </w:t>
            </w:r>
            <w:r w:rsidRPr="00681B7C">
              <w:t>AACSB, AMBA</w:t>
            </w:r>
            <w:r w:rsidR="00772584">
              <w:t xml:space="preserve">, </w:t>
            </w:r>
            <w:r w:rsidRPr="00681B7C">
              <w:t>EQUIS</w:t>
            </w:r>
            <w:r w:rsidR="00772584">
              <w:t xml:space="preserve"> and CABS Small Business Charter, and programme accreditation</w:t>
            </w:r>
            <w:r w:rsidR="00434133">
              <w:t>s</w:t>
            </w:r>
            <w:r w:rsidR="00772584">
              <w:t xml:space="preserve"> by specific professional bodies. </w:t>
            </w:r>
          </w:p>
        </w:tc>
        <w:tc>
          <w:tcPr>
            <w:tcW w:w="1016" w:type="dxa"/>
            <w:vMerge w:val="restart"/>
          </w:tcPr>
          <w:p w14:paraId="366F1994" w14:textId="39C070CD" w:rsidR="003D6639" w:rsidRDefault="00434133" w:rsidP="003D6639">
            <w:r>
              <w:t>9</w:t>
            </w:r>
            <w:r w:rsidR="002E6049">
              <w:t>5</w:t>
            </w:r>
            <w:r w:rsidR="003D6639">
              <w:t>%</w:t>
            </w:r>
          </w:p>
        </w:tc>
      </w:tr>
      <w:tr w:rsidR="003D6639" w14:paraId="5F33E707" w14:textId="77777777" w:rsidTr="00A700A6">
        <w:trPr>
          <w:cantSplit/>
        </w:trPr>
        <w:tc>
          <w:tcPr>
            <w:tcW w:w="596" w:type="dxa"/>
            <w:tcBorders>
              <w:right w:val="nil"/>
            </w:tcBorders>
          </w:tcPr>
          <w:p w14:paraId="32848B25" w14:textId="77777777" w:rsidR="003D6639" w:rsidRDefault="003D6639" w:rsidP="003D6639">
            <w:pPr>
              <w:pStyle w:val="ListParagraph"/>
              <w:numPr>
                <w:ilvl w:val="0"/>
                <w:numId w:val="17"/>
              </w:numPr>
            </w:pPr>
          </w:p>
        </w:tc>
        <w:tc>
          <w:tcPr>
            <w:tcW w:w="8015" w:type="dxa"/>
            <w:tcBorders>
              <w:left w:val="nil"/>
            </w:tcBorders>
          </w:tcPr>
          <w:p w14:paraId="57BF90A3" w14:textId="77777777" w:rsidR="003D6639" w:rsidRPr="00681B7C" w:rsidRDefault="003D6639" w:rsidP="003D6639">
            <w:pPr>
              <w:rPr>
                <w:b/>
              </w:rPr>
            </w:pPr>
            <w:r w:rsidRPr="00681B7C">
              <w:rPr>
                <w:b/>
              </w:rPr>
              <w:t>Research and Enterprise</w:t>
            </w:r>
          </w:p>
          <w:p w14:paraId="6B1CB134" w14:textId="71D8A7E0" w:rsidR="003D6639" w:rsidRDefault="003D6639" w:rsidP="003D6639">
            <w:r w:rsidRPr="00681B7C">
              <w:t>Work closely with the school’s research leaders, including the Deputy Head of School</w:t>
            </w:r>
            <w:r>
              <w:t xml:space="preserve"> (Research), Departmental Heads of Research, Directors of Research Centres,</w:t>
            </w:r>
            <w:r w:rsidRPr="00681B7C">
              <w:t xml:space="preserve"> Research Excellence Framework (REF) Impact Champion, REF Environment Champion</w:t>
            </w:r>
            <w:r>
              <w:t>, impact case writers,</w:t>
            </w:r>
            <w:r w:rsidRPr="00681B7C">
              <w:t xml:space="preserve"> to facilitate the development of </w:t>
            </w:r>
            <w:r>
              <w:t xml:space="preserve">the School’s </w:t>
            </w:r>
            <w:r w:rsidRPr="00681B7C">
              <w:t>real-world impact for REF and non-REF purposes for the School.</w:t>
            </w:r>
          </w:p>
          <w:p w14:paraId="46C6F89F" w14:textId="77777777" w:rsidR="003D6639" w:rsidRDefault="003D6639" w:rsidP="003D6639"/>
          <w:p w14:paraId="21DAC663" w14:textId="12B4C968" w:rsidR="003D6639" w:rsidRDefault="003D6639" w:rsidP="003D6639">
            <w:r>
              <w:t xml:space="preserve">Develop and implement plans for ad-hoc industry projects </w:t>
            </w:r>
            <w:r w:rsidR="00434133">
              <w:t>through various</w:t>
            </w:r>
            <w:r w:rsidR="00406406">
              <w:t xml:space="preserve"> funding schemes/</w:t>
            </w:r>
            <w:r w:rsidR="00434133">
              <w:t xml:space="preserve">instruments </w:t>
            </w:r>
            <w:r>
              <w:t xml:space="preserve">that leverage the </w:t>
            </w:r>
            <w:r w:rsidR="00434133">
              <w:t>school’s</w:t>
            </w:r>
            <w:r>
              <w:t xml:space="preserve"> expertise and translate in additional streams of revenues.</w:t>
            </w:r>
          </w:p>
        </w:tc>
        <w:tc>
          <w:tcPr>
            <w:tcW w:w="1016" w:type="dxa"/>
            <w:vMerge/>
          </w:tcPr>
          <w:p w14:paraId="60F9836D" w14:textId="77777777" w:rsidR="003D6639" w:rsidRDefault="003D6639" w:rsidP="003D6639"/>
        </w:tc>
      </w:tr>
      <w:tr w:rsidR="003D6639" w14:paraId="08F25991" w14:textId="77777777" w:rsidTr="00A700A6">
        <w:trPr>
          <w:cantSplit/>
        </w:trPr>
        <w:tc>
          <w:tcPr>
            <w:tcW w:w="596" w:type="dxa"/>
            <w:tcBorders>
              <w:right w:val="nil"/>
            </w:tcBorders>
          </w:tcPr>
          <w:p w14:paraId="5840D8A0" w14:textId="77777777" w:rsidR="003D6639" w:rsidRDefault="003D6639" w:rsidP="003D6639">
            <w:pPr>
              <w:pStyle w:val="ListParagraph"/>
              <w:numPr>
                <w:ilvl w:val="0"/>
                <w:numId w:val="17"/>
              </w:numPr>
            </w:pPr>
          </w:p>
        </w:tc>
        <w:tc>
          <w:tcPr>
            <w:tcW w:w="8015" w:type="dxa"/>
            <w:tcBorders>
              <w:left w:val="nil"/>
            </w:tcBorders>
          </w:tcPr>
          <w:p w14:paraId="6B555582" w14:textId="77777777" w:rsidR="003D6639" w:rsidRPr="00681B7C" w:rsidRDefault="003D6639" w:rsidP="003D6639">
            <w:pPr>
              <w:rPr>
                <w:b/>
              </w:rPr>
            </w:pPr>
            <w:r w:rsidRPr="00681B7C">
              <w:rPr>
                <w:b/>
              </w:rPr>
              <w:t>Education and Enterprise</w:t>
            </w:r>
          </w:p>
          <w:p w14:paraId="43BE48CC" w14:textId="77AB66B0" w:rsidR="003D6639" w:rsidRDefault="003D6639" w:rsidP="003D6639">
            <w:r>
              <w:t xml:space="preserve">Work in close collaboration with </w:t>
            </w:r>
            <w:r w:rsidR="00406406">
              <w:t xml:space="preserve">the </w:t>
            </w:r>
            <w:r>
              <w:t>directors of the DBA</w:t>
            </w:r>
            <w:r w:rsidR="00434133">
              <w:t xml:space="preserve">, </w:t>
            </w:r>
            <w:r>
              <w:t xml:space="preserve">MBA </w:t>
            </w:r>
            <w:r w:rsidR="00434133">
              <w:t xml:space="preserve">and Executive Education programme </w:t>
            </w:r>
            <w:r>
              <w:t>in developing links with local, regional, national and international companies, bodies, and organisations to identify high quality students, thus supporting students’ recruitment to these programmes.</w:t>
            </w:r>
          </w:p>
          <w:p w14:paraId="02DE9DFA" w14:textId="3631681F" w:rsidR="00CE25E2" w:rsidRDefault="00CE25E2" w:rsidP="003D6639">
            <w:r>
              <w:t>Leverage the funding opportunities through the HE Innovation Funding Scheme</w:t>
            </w:r>
            <w:r w:rsidR="00720461">
              <w:t xml:space="preserve"> or equivalent schemes</w:t>
            </w:r>
            <w:r w:rsidR="009650EF">
              <w:t>.</w:t>
            </w:r>
          </w:p>
          <w:p w14:paraId="75FB9B97" w14:textId="0F0725D5" w:rsidR="003D6639" w:rsidRDefault="003D6639" w:rsidP="003D6639">
            <w:r>
              <w:t>Develop, f</w:t>
            </w:r>
            <w:r w:rsidRPr="00681B7C">
              <w:t>acilitate</w:t>
            </w:r>
            <w:r>
              <w:t xml:space="preserve"> and review</w:t>
            </w:r>
            <w:r w:rsidRPr="00681B7C">
              <w:t xml:space="preserve"> the delivery of the school’s executive education programmes by working in collaboration with </w:t>
            </w:r>
            <w:r w:rsidR="00434133">
              <w:t xml:space="preserve">the Director of Executive Education, </w:t>
            </w:r>
            <w:r w:rsidRPr="00681B7C">
              <w:t>other senior leaders as appropriate (i.e. DBA and MBA programme directors</w:t>
            </w:r>
            <w:r>
              <w:t xml:space="preserve">, SBS programme leaders and/or </w:t>
            </w:r>
            <w:r w:rsidRPr="00681B7C">
              <w:t xml:space="preserve">module leaders, KTP managers, </w:t>
            </w:r>
            <w:r>
              <w:t xml:space="preserve">Departmental Heads of Research/Directors of Research Centres, </w:t>
            </w:r>
            <w:r w:rsidRPr="00681B7C">
              <w:t>etc.)</w:t>
            </w:r>
          </w:p>
          <w:p w14:paraId="209F2DAE" w14:textId="76D11665" w:rsidR="003D6639" w:rsidRDefault="003D6639" w:rsidP="003D6639">
            <w:r>
              <w:t xml:space="preserve">Work in close collaboration with the Director of Career, Employability, Placement and Alumni Relations (CEPAR) to support the enhancement of further learning opportunities for students in the world of practice. </w:t>
            </w:r>
          </w:p>
          <w:p w14:paraId="0924B339" w14:textId="4E551FC5" w:rsidR="009B66A7" w:rsidRDefault="009B66A7" w:rsidP="003D6639">
            <w:r>
              <w:t>Build a community of entrepreneurs in-residence within Southampton Business School to enrich research and educational activities.</w:t>
            </w:r>
          </w:p>
          <w:p w14:paraId="6B824D11" w14:textId="334DF4C2" w:rsidR="00D326A0" w:rsidRDefault="00D326A0" w:rsidP="00D326A0">
            <w:r>
              <w:t>Share databases with the Director of CEPAR and other school stakeholders as appropriate.</w:t>
            </w:r>
          </w:p>
          <w:p w14:paraId="32B0A4CE" w14:textId="77777777" w:rsidR="00D326A0" w:rsidRDefault="00D326A0" w:rsidP="003D6639"/>
          <w:p w14:paraId="4AC35927" w14:textId="65304DC7" w:rsidR="009B66A7" w:rsidRDefault="009B66A7" w:rsidP="003D6639"/>
        </w:tc>
        <w:tc>
          <w:tcPr>
            <w:tcW w:w="1016" w:type="dxa"/>
            <w:vMerge/>
          </w:tcPr>
          <w:p w14:paraId="433FFDA4" w14:textId="77777777" w:rsidR="003D6639" w:rsidRDefault="003D6639" w:rsidP="003D6639"/>
        </w:tc>
      </w:tr>
      <w:tr w:rsidR="003D6639" w14:paraId="3EE736CB" w14:textId="77777777" w:rsidTr="00A700A6">
        <w:trPr>
          <w:cantSplit/>
        </w:trPr>
        <w:tc>
          <w:tcPr>
            <w:tcW w:w="596" w:type="dxa"/>
            <w:tcBorders>
              <w:right w:val="nil"/>
            </w:tcBorders>
          </w:tcPr>
          <w:p w14:paraId="1A574EA9" w14:textId="77777777" w:rsidR="003D6639" w:rsidRDefault="003D6639" w:rsidP="003D6639">
            <w:pPr>
              <w:pStyle w:val="ListParagraph"/>
              <w:numPr>
                <w:ilvl w:val="0"/>
                <w:numId w:val="17"/>
              </w:numPr>
            </w:pPr>
          </w:p>
        </w:tc>
        <w:tc>
          <w:tcPr>
            <w:tcW w:w="8015" w:type="dxa"/>
            <w:tcBorders>
              <w:left w:val="nil"/>
            </w:tcBorders>
          </w:tcPr>
          <w:p w14:paraId="48181A89" w14:textId="77777777" w:rsidR="003D6639" w:rsidRPr="00681B7C" w:rsidRDefault="003D6639" w:rsidP="003D6639">
            <w:pPr>
              <w:rPr>
                <w:b/>
              </w:rPr>
            </w:pPr>
            <w:r w:rsidRPr="00681B7C">
              <w:rPr>
                <w:b/>
              </w:rPr>
              <w:t>International and Enterprise</w:t>
            </w:r>
          </w:p>
          <w:p w14:paraId="5FBEE6B7" w14:textId="75A8492F" w:rsidR="003D6639" w:rsidRDefault="003D6639" w:rsidP="003D6639">
            <w:r w:rsidRPr="00681B7C">
              <w:t xml:space="preserve">Work in close collaboration with the Director of Internationalisation to </w:t>
            </w:r>
            <w:r>
              <w:t xml:space="preserve">support </w:t>
            </w:r>
            <w:r w:rsidRPr="00681B7C">
              <w:t>connect</w:t>
            </w:r>
            <w:r>
              <w:t xml:space="preserve">ions of </w:t>
            </w:r>
            <w:r w:rsidRPr="00681B7C">
              <w:t>colleagues with international companies, bodies and organisations</w:t>
            </w:r>
            <w:r>
              <w:t xml:space="preserve"> that will lead to impactful collaborative research projects and income-generating </w:t>
            </w:r>
            <w:r w:rsidR="00406406">
              <w:t xml:space="preserve">knowledge exchange and </w:t>
            </w:r>
            <w:r>
              <w:t>enterprise activities</w:t>
            </w:r>
            <w:r w:rsidRPr="00681B7C">
              <w:t>.</w:t>
            </w:r>
          </w:p>
          <w:p w14:paraId="22717B25" w14:textId="39A5D85E" w:rsidR="003D6639" w:rsidRDefault="003D6639" w:rsidP="003D6639">
            <w:r w:rsidRPr="00681B7C">
              <w:t>Facilitate and support the school’s internationalisation efforts, especially corporate connections and data collection elements relating to actively and positively influencing our international rankings, such as the QS and Times rankings (with a particular attention to employers’ score).</w:t>
            </w:r>
          </w:p>
        </w:tc>
        <w:tc>
          <w:tcPr>
            <w:tcW w:w="1016" w:type="dxa"/>
            <w:vMerge/>
          </w:tcPr>
          <w:p w14:paraId="768DF46F" w14:textId="77777777" w:rsidR="003D6639" w:rsidRDefault="003D6639" w:rsidP="003D6639"/>
        </w:tc>
      </w:tr>
      <w:tr w:rsidR="003D6639" w14:paraId="6618D3CB" w14:textId="77777777" w:rsidTr="00A700A6">
        <w:trPr>
          <w:cantSplit/>
        </w:trPr>
        <w:tc>
          <w:tcPr>
            <w:tcW w:w="596" w:type="dxa"/>
            <w:tcBorders>
              <w:right w:val="nil"/>
            </w:tcBorders>
          </w:tcPr>
          <w:p w14:paraId="261C91C5" w14:textId="77777777" w:rsidR="003D6639" w:rsidRDefault="003D6639" w:rsidP="003D6639">
            <w:pPr>
              <w:pStyle w:val="ListParagraph"/>
              <w:numPr>
                <w:ilvl w:val="0"/>
                <w:numId w:val="17"/>
              </w:numPr>
            </w:pPr>
          </w:p>
        </w:tc>
        <w:tc>
          <w:tcPr>
            <w:tcW w:w="8015" w:type="dxa"/>
            <w:tcBorders>
              <w:left w:val="nil"/>
            </w:tcBorders>
          </w:tcPr>
          <w:p w14:paraId="2A6A587B" w14:textId="77777777" w:rsidR="003D6639" w:rsidRDefault="003D6639" w:rsidP="003D6639">
            <w:pPr>
              <w:rPr>
                <w:b/>
              </w:rPr>
            </w:pPr>
            <w:r>
              <w:rPr>
                <w:b/>
              </w:rPr>
              <w:t>Line Management</w:t>
            </w:r>
          </w:p>
          <w:p w14:paraId="3110ED63" w14:textId="4CD1215A" w:rsidR="003D6639" w:rsidRDefault="003D6639" w:rsidP="003D6639">
            <w:r w:rsidRPr="00BB751F">
              <w:t>To line manage direct reports, exercising good people management practices including mentoring, coaching, training, advice and guidance as necessary.  Ensure the right mix of skills and capabilities through continuous professional development, recruitment and performance feedback.</w:t>
            </w:r>
          </w:p>
        </w:tc>
        <w:tc>
          <w:tcPr>
            <w:tcW w:w="1016" w:type="dxa"/>
            <w:vMerge/>
          </w:tcPr>
          <w:p w14:paraId="716FB8FE" w14:textId="77777777" w:rsidR="003D6639" w:rsidRDefault="003D6639" w:rsidP="003D6639"/>
        </w:tc>
      </w:tr>
      <w:tr w:rsidR="003D6639" w14:paraId="466B3A33" w14:textId="77777777" w:rsidTr="00A700A6">
        <w:trPr>
          <w:cantSplit/>
        </w:trPr>
        <w:tc>
          <w:tcPr>
            <w:tcW w:w="596" w:type="dxa"/>
            <w:tcBorders>
              <w:right w:val="nil"/>
            </w:tcBorders>
          </w:tcPr>
          <w:p w14:paraId="5509EDA2" w14:textId="77777777" w:rsidR="003D6639" w:rsidRDefault="003D6639" w:rsidP="003D6639">
            <w:pPr>
              <w:pStyle w:val="ListParagraph"/>
              <w:numPr>
                <w:ilvl w:val="0"/>
                <w:numId w:val="17"/>
              </w:numPr>
            </w:pPr>
          </w:p>
        </w:tc>
        <w:tc>
          <w:tcPr>
            <w:tcW w:w="8015" w:type="dxa"/>
            <w:tcBorders>
              <w:left w:val="nil"/>
            </w:tcBorders>
          </w:tcPr>
          <w:p w14:paraId="37773330" w14:textId="7B19DEAD" w:rsidR="009B66A7" w:rsidRPr="009B66A7" w:rsidRDefault="009B66A7" w:rsidP="00217381">
            <w:pPr>
              <w:rPr>
                <w:b/>
                <w:bCs/>
              </w:rPr>
            </w:pPr>
            <w:r w:rsidRPr="009B66A7">
              <w:rPr>
                <w:b/>
                <w:bCs/>
              </w:rPr>
              <w:t>Operational management</w:t>
            </w:r>
          </w:p>
          <w:p w14:paraId="389B217D" w14:textId="50F739F4" w:rsidR="00217381" w:rsidRDefault="00217381" w:rsidP="00217381">
            <w:r>
              <w:t xml:space="preserve">Take responsibility for the management </w:t>
            </w:r>
            <w:r w:rsidR="005F7334">
              <w:t xml:space="preserve">and delivery </w:t>
            </w:r>
            <w:r>
              <w:t xml:space="preserve">of new strategic and operational </w:t>
            </w:r>
            <w:r w:rsidR="005F7334">
              <w:t>projects for the School as required</w:t>
            </w:r>
            <w:r w:rsidR="00406406">
              <w:t>.</w:t>
            </w:r>
            <w:r w:rsidR="005F7334">
              <w:t xml:space="preserve"> </w:t>
            </w:r>
            <w:r>
              <w:t xml:space="preserve"> </w:t>
            </w:r>
          </w:p>
          <w:p w14:paraId="78EE538A" w14:textId="67B62004" w:rsidR="003D6639" w:rsidRPr="00247F0D" w:rsidRDefault="005F7334" w:rsidP="009B66A7">
            <w:r>
              <w:t xml:space="preserve">Support the implementation of </w:t>
            </w:r>
            <w:r w:rsidR="00217381">
              <w:t xml:space="preserve">the School’s Ethics and Corporate Sustainability agenda through targeted actions.    </w:t>
            </w:r>
          </w:p>
        </w:tc>
        <w:tc>
          <w:tcPr>
            <w:tcW w:w="1016" w:type="dxa"/>
            <w:vMerge/>
          </w:tcPr>
          <w:p w14:paraId="6A07C05A" w14:textId="02359B56" w:rsidR="003D6639" w:rsidRDefault="003D6639" w:rsidP="003D6639"/>
        </w:tc>
      </w:tr>
      <w:tr w:rsidR="003D6639" w14:paraId="15BF08A4" w14:textId="77777777" w:rsidTr="00A700A6">
        <w:trPr>
          <w:cantSplit/>
        </w:trPr>
        <w:tc>
          <w:tcPr>
            <w:tcW w:w="596" w:type="dxa"/>
            <w:tcBorders>
              <w:right w:val="nil"/>
            </w:tcBorders>
          </w:tcPr>
          <w:p w14:paraId="15BF08A1" w14:textId="77777777" w:rsidR="003D6639" w:rsidRDefault="003D6639" w:rsidP="003D6639">
            <w:pPr>
              <w:pStyle w:val="ListParagraph"/>
              <w:numPr>
                <w:ilvl w:val="0"/>
                <w:numId w:val="17"/>
              </w:numPr>
            </w:pPr>
          </w:p>
        </w:tc>
        <w:tc>
          <w:tcPr>
            <w:tcW w:w="8015" w:type="dxa"/>
            <w:tcBorders>
              <w:left w:val="nil"/>
            </w:tcBorders>
          </w:tcPr>
          <w:p w14:paraId="22E0BCAD" w14:textId="50C50862" w:rsidR="009B66A7" w:rsidRPr="009B66A7" w:rsidRDefault="009B66A7" w:rsidP="003D6639">
            <w:pPr>
              <w:rPr>
                <w:b/>
                <w:bCs/>
              </w:rPr>
            </w:pPr>
            <w:r w:rsidRPr="009B66A7">
              <w:rPr>
                <w:b/>
                <w:bCs/>
              </w:rPr>
              <w:t>School representation</w:t>
            </w:r>
          </w:p>
          <w:p w14:paraId="15BF08A2" w14:textId="315EAC7B" w:rsidR="003D6639" w:rsidRDefault="003D6639" w:rsidP="003D6639">
            <w:r w:rsidRPr="00401EAA">
              <w:t xml:space="preserve">Represent the </w:t>
            </w:r>
            <w:r>
              <w:t>School</w:t>
            </w:r>
            <w:r w:rsidR="009B66A7">
              <w:t xml:space="preserve"> at the relevant </w:t>
            </w:r>
            <w:r w:rsidRPr="00401EAA">
              <w:t>Faculty</w:t>
            </w:r>
            <w:r w:rsidR="009B66A7">
              <w:t xml:space="preserve"> and </w:t>
            </w:r>
            <w:r w:rsidRPr="00401EAA">
              <w:t xml:space="preserve">University </w:t>
            </w:r>
            <w:r w:rsidR="009B66A7">
              <w:t>enterprise committees as appropriate</w:t>
            </w:r>
          </w:p>
        </w:tc>
        <w:tc>
          <w:tcPr>
            <w:tcW w:w="1016" w:type="dxa"/>
            <w:vMerge w:val="restart"/>
          </w:tcPr>
          <w:p w14:paraId="15BF08A3" w14:textId="00BEDA83" w:rsidR="003D6639" w:rsidRDefault="003D6639" w:rsidP="003D6639">
            <w:r>
              <w:t>5 %</w:t>
            </w:r>
          </w:p>
        </w:tc>
      </w:tr>
      <w:tr w:rsidR="003D6639" w14:paraId="2A4FEA22" w14:textId="77777777" w:rsidTr="00A700A6">
        <w:trPr>
          <w:cantSplit/>
        </w:trPr>
        <w:tc>
          <w:tcPr>
            <w:tcW w:w="596" w:type="dxa"/>
            <w:tcBorders>
              <w:right w:val="nil"/>
            </w:tcBorders>
          </w:tcPr>
          <w:p w14:paraId="1D15DCD0" w14:textId="77777777" w:rsidR="003D6639" w:rsidRDefault="003D6639" w:rsidP="003D6639">
            <w:pPr>
              <w:pStyle w:val="ListParagraph"/>
              <w:numPr>
                <w:ilvl w:val="0"/>
                <w:numId w:val="17"/>
              </w:numPr>
            </w:pPr>
          </w:p>
        </w:tc>
        <w:tc>
          <w:tcPr>
            <w:tcW w:w="8015" w:type="dxa"/>
            <w:tcBorders>
              <w:left w:val="nil"/>
            </w:tcBorders>
          </w:tcPr>
          <w:p w14:paraId="6AC4D5D3" w14:textId="45E25AFA" w:rsidR="003D6639" w:rsidRDefault="003D6639" w:rsidP="003D6639">
            <w:r w:rsidRPr="00343D93">
              <w:t>Any other duties as allocated by the line manager following consultation with the post holder.</w:t>
            </w:r>
          </w:p>
        </w:tc>
        <w:tc>
          <w:tcPr>
            <w:tcW w:w="1016" w:type="dxa"/>
            <w:vMerge/>
          </w:tcPr>
          <w:p w14:paraId="1C4BFDAF" w14:textId="406F167F" w:rsidR="003D6639" w:rsidRDefault="003D6639" w:rsidP="003D6639"/>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3439D475" w14:textId="7A4A7A1F" w:rsidR="00206045" w:rsidRDefault="00206045" w:rsidP="00206045">
            <w:r>
              <w:t>Member of the School</w:t>
            </w:r>
            <w:r w:rsidR="009B66A7">
              <w:t xml:space="preserve"> Operational </w:t>
            </w:r>
            <w:r>
              <w:t xml:space="preserve">Board, Examination Board </w:t>
            </w:r>
            <w:r w:rsidR="009B66A7">
              <w:t xml:space="preserve">(if appropriate) </w:t>
            </w:r>
            <w:r>
              <w:t xml:space="preserve">and of </w:t>
            </w:r>
            <w:r w:rsidR="009B66A7">
              <w:t>the</w:t>
            </w:r>
            <w:r>
              <w:t xml:space="preserve"> </w:t>
            </w:r>
            <w:r w:rsidR="009B66A7">
              <w:t>Faculty/</w:t>
            </w:r>
            <w:r>
              <w:t xml:space="preserve">School/Department committees relevant to their administrative duties.  </w:t>
            </w:r>
          </w:p>
          <w:p w14:paraId="15BF08B0" w14:textId="1262920D" w:rsidR="003D6639" w:rsidRDefault="003D6639" w:rsidP="00206045">
            <w:r>
              <w:t>To work closely with the School’s research leaders, including the Deputy Head of School Research, Research Excellence Framework (REF) Impact Champion.</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6DA5CA0A" w14:textId="603F4247" w:rsidR="00343D93" w:rsidRPr="00ED5E46" w:rsidRDefault="00343D93" w:rsidP="00BF51A6"/>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56"/>
        <w:gridCol w:w="3344"/>
        <w:gridCol w:w="1314"/>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206045" w14:paraId="15BF08BF" w14:textId="77777777" w:rsidTr="00013C10">
        <w:tc>
          <w:tcPr>
            <w:tcW w:w="1617" w:type="dxa"/>
          </w:tcPr>
          <w:p w14:paraId="15BF08BB" w14:textId="21456655" w:rsidR="00206045" w:rsidRPr="00FD5B0E" w:rsidRDefault="00206045" w:rsidP="00206045">
            <w:r w:rsidRPr="00FD5B0E">
              <w:t xml:space="preserve">Qualifications, knowledge </w:t>
            </w:r>
            <w:r>
              <w:t>and</w:t>
            </w:r>
            <w:r w:rsidRPr="00FD5B0E">
              <w:t xml:space="preserve"> experience</w:t>
            </w:r>
          </w:p>
        </w:tc>
        <w:tc>
          <w:tcPr>
            <w:tcW w:w="3402" w:type="dxa"/>
          </w:tcPr>
          <w:p w14:paraId="45E21868" w14:textId="399A25FA" w:rsidR="004755ED" w:rsidRDefault="004755ED" w:rsidP="002E6049">
            <w:pPr>
              <w:spacing w:after="90"/>
            </w:pPr>
            <w:r w:rsidRPr="00611854">
              <w:t>PhD</w:t>
            </w:r>
            <w:r>
              <w:t xml:space="preserve"> or equivalent</w:t>
            </w:r>
            <w:r w:rsidR="00766E15">
              <w:t xml:space="preserve"> </w:t>
            </w:r>
            <w:r w:rsidRPr="00611854">
              <w:t>in any discipline that supports the research agenda of the Business School</w:t>
            </w:r>
            <w:r>
              <w:t>.</w:t>
            </w:r>
          </w:p>
          <w:p w14:paraId="7C880967" w14:textId="2345BFF6" w:rsidR="002E6049" w:rsidRPr="0008103C" w:rsidRDefault="002E6049" w:rsidP="002E6049">
            <w:pPr>
              <w:spacing w:after="90"/>
            </w:pPr>
            <w:r w:rsidRPr="0008103C">
              <w:t>Strong reputation as an expert in a significant field of enterprise; proven experience of developing, selling and leading Enterprise programmes for a wide range of organisations</w:t>
            </w:r>
            <w:r>
              <w:t>.</w:t>
            </w:r>
          </w:p>
          <w:p w14:paraId="74E319BC" w14:textId="77777777" w:rsidR="008F4754" w:rsidRDefault="008F4754" w:rsidP="00206045">
            <w:pPr>
              <w:spacing w:after="90"/>
            </w:pPr>
            <w:r>
              <w:t>National or international reputation as an expert in a significant field of enterprise; proven experience of leading challenging work at the leading edge of the profession</w:t>
            </w:r>
          </w:p>
          <w:p w14:paraId="6E0A2E06" w14:textId="20B9AFC5" w:rsidR="008F4754" w:rsidRDefault="008F4754" w:rsidP="00206045">
            <w:pPr>
              <w:spacing w:after="90"/>
            </w:pPr>
            <w:r w:rsidRPr="00611854">
              <w:t>A sustained record of excellence</w:t>
            </w:r>
            <w:r>
              <w:t xml:space="preserve"> in enterprise and consultancy activities with high levels of income generation and/or significant reputational benefit.</w:t>
            </w:r>
          </w:p>
          <w:p w14:paraId="04058184" w14:textId="77777777" w:rsidR="00B050FB" w:rsidRPr="00611854" w:rsidRDefault="00B050FB" w:rsidP="00C05247">
            <w:pPr>
              <w:spacing w:after="90"/>
            </w:pPr>
          </w:p>
          <w:p w14:paraId="15BF08BC" w14:textId="687B4774" w:rsidR="00206045" w:rsidRPr="00611854" w:rsidRDefault="00206045" w:rsidP="00B050FB">
            <w:pPr>
              <w:spacing w:after="90"/>
            </w:pPr>
          </w:p>
        </w:tc>
        <w:tc>
          <w:tcPr>
            <w:tcW w:w="3402" w:type="dxa"/>
          </w:tcPr>
          <w:p w14:paraId="72DFC6BA" w14:textId="77777777" w:rsidR="00206045" w:rsidRPr="00611854" w:rsidRDefault="00206045" w:rsidP="00206045">
            <w:pPr>
              <w:spacing w:after="90"/>
            </w:pPr>
            <w:r w:rsidRPr="00611854">
              <w:t>Membership of Higher Education Academy</w:t>
            </w:r>
          </w:p>
          <w:p w14:paraId="39014737" w14:textId="60154DE3" w:rsidR="00206045" w:rsidRDefault="00206045" w:rsidP="00206045">
            <w:pPr>
              <w:spacing w:after="90"/>
            </w:pPr>
            <w:r w:rsidRPr="00611854">
              <w:t>Involvement in national and international events</w:t>
            </w:r>
          </w:p>
          <w:p w14:paraId="62F2F78C" w14:textId="77777777" w:rsidR="00AF32AC" w:rsidRDefault="00AF32AC" w:rsidP="00AF32AC">
            <w:pPr>
              <w:spacing w:after="90"/>
            </w:pPr>
            <w:r>
              <w:t xml:space="preserve">Sit on </w:t>
            </w:r>
            <w:r w:rsidRPr="00611854">
              <w:t>national or international advisory bo</w:t>
            </w:r>
            <w:r>
              <w:t>dies</w:t>
            </w:r>
          </w:p>
          <w:p w14:paraId="2C59DE59" w14:textId="0EB3D0DB" w:rsidR="00AF32AC" w:rsidRDefault="00AF32AC" w:rsidP="00206045">
            <w:pPr>
              <w:spacing w:after="90"/>
            </w:pPr>
          </w:p>
          <w:p w14:paraId="236010D7" w14:textId="77777777" w:rsidR="00AF32AC" w:rsidRDefault="00AF32AC" w:rsidP="00206045">
            <w:pPr>
              <w:spacing w:after="90"/>
            </w:pPr>
          </w:p>
          <w:p w14:paraId="15BF08BD" w14:textId="395F1BB6" w:rsidR="008F4754" w:rsidRPr="00611854" w:rsidRDefault="008F4754" w:rsidP="00AF32AC">
            <w:pPr>
              <w:spacing w:after="90"/>
            </w:pPr>
          </w:p>
        </w:tc>
        <w:tc>
          <w:tcPr>
            <w:tcW w:w="1330" w:type="dxa"/>
          </w:tcPr>
          <w:p w14:paraId="15BF08BE" w14:textId="77777777" w:rsidR="00206045" w:rsidRDefault="00206045" w:rsidP="00206045">
            <w:pPr>
              <w:spacing w:after="90"/>
            </w:pPr>
          </w:p>
        </w:tc>
      </w:tr>
      <w:tr w:rsidR="00113EDE" w14:paraId="15BF08C4" w14:textId="77777777" w:rsidTr="00013C10">
        <w:tc>
          <w:tcPr>
            <w:tcW w:w="1617" w:type="dxa"/>
          </w:tcPr>
          <w:p w14:paraId="15BF08C0" w14:textId="1A50CBB5" w:rsidR="00113EDE" w:rsidRPr="00FD5B0E" w:rsidRDefault="00113EDE" w:rsidP="00113EDE">
            <w:r w:rsidRPr="00FD5B0E">
              <w:t xml:space="preserve">Planning </w:t>
            </w:r>
            <w:r>
              <w:t>and</w:t>
            </w:r>
            <w:r w:rsidRPr="00FD5B0E">
              <w:t xml:space="preserve"> organising</w:t>
            </w:r>
          </w:p>
        </w:tc>
        <w:tc>
          <w:tcPr>
            <w:tcW w:w="3402" w:type="dxa"/>
          </w:tcPr>
          <w:p w14:paraId="1851E39B" w14:textId="303583A4" w:rsidR="00113EDE" w:rsidRDefault="00113EDE" w:rsidP="00113EDE">
            <w:pPr>
              <w:spacing w:after="90"/>
            </w:pPr>
            <w:r>
              <w:t xml:space="preserve">Proven ability to champion and oversee key contributions to faculty and/or University </w:t>
            </w:r>
            <w:r w:rsidR="00AF32AC">
              <w:t xml:space="preserve">enterprise, </w:t>
            </w:r>
            <w:r>
              <w:t>research</w:t>
            </w:r>
            <w:r w:rsidR="00AF32AC">
              <w:t xml:space="preserve"> or</w:t>
            </w:r>
            <w:r>
              <w:t xml:space="preserve"> education strategies.</w:t>
            </w:r>
          </w:p>
          <w:p w14:paraId="74416829" w14:textId="116D7278" w:rsidR="00AD3068" w:rsidRDefault="00AD3068" w:rsidP="000B3BDD">
            <w:pPr>
              <w:spacing w:after="90"/>
            </w:pPr>
            <w:r>
              <w:t>Proven abili</w:t>
            </w:r>
            <w:r w:rsidR="000B3BDD">
              <w:t xml:space="preserve">ty to lead </w:t>
            </w:r>
            <w:r w:rsidR="008F4754">
              <w:t>enterprise</w:t>
            </w:r>
            <w:r w:rsidR="000B3BDD">
              <w:t xml:space="preserve"> activities, grants and/or contracts of national and international importance.</w:t>
            </w:r>
          </w:p>
          <w:p w14:paraId="15BF08C1" w14:textId="5C711A16" w:rsidR="00113EDE" w:rsidRDefault="00113EDE" w:rsidP="00AD3068">
            <w:pPr>
              <w:spacing w:after="90"/>
            </w:pPr>
          </w:p>
        </w:tc>
        <w:tc>
          <w:tcPr>
            <w:tcW w:w="3402" w:type="dxa"/>
          </w:tcPr>
          <w:p w14:paraId="15BF08C2" w14:textId="01BD4EF2" w:rsidR="00113EDE" w:rsidRDefault="00113EDE" w:rsidP="00113EDE">
            <w:pPr>
              <w:spacing w:after="90"/>
            </w:pPr>
          </w:p>
        </w:tc>
        <w:tc>
          <w:tcPr>
            <w:tcW w:w="1330" w:type="dxa"/>
          </w:tcPr>
          <w:p w14:paraId="15BF08C3" w14:textId="77777777" w:rsidR="00113EDE" w:rsidRDefault="00113EDE" w:rsidP="00113EDE">
            <w:pPr>
              <w:spacing w:after="90"/>
            </w:pPr>
          </w:p>
        </w:tc>
      </w:tr>
      <w:tr w:rsidR="00113EDE" w14:paraId="15BF08C9" w14:textId="77777777" w:rsidTr="00013C10">
        <w:tc>
          <w:tcPr>
            <w:tcW w:w="1617" w:type="dxa"/>
          </w:tcPr>
          <w:p w14:paraId="15BF08C5" w14:textId="21DBF709" w:rsidR="00113EDE" w:rsidRPr="00FD5B0E" w:rsidRDefault="00113EDE" w:rsidP="00113EDE">
            <w:r w:rsidRPr="00FD5B0E">
              <w:t xml:space="preserve">Problem solving </w:t>
            </w:r>
            <w:r>
              <w:t>and</w:t>
            </w:r>
            <w:r w:rsidRPr="00FD5B0E">
              <w:t xml:space="preserve"> initiative</w:t>
            </w:r>
          </w:p>
        </w:tc>
        <w:tc>
          <w:tcPr>
            <w:tcW w:w="3402" w:type="dxa"/>
          </w:tcPr>
          <w:p w14:paraId="15BF08C6" w14:textId="443A8A7A" w:rsidR="00113EDE" w:rsidRDefault="00AD3068" w:rsidP="00113EDE">
            <w:pPr>
              <w:spacing w:after="90"/>
            </w:pPr>
            <w:r>
              <w:t>Proven ability to implement successful change management initiatives and formulate strategic plans that reflect and support the priority needs.</w:t>
            </w:r>
          </w:p>
        </w:tc>
        <w:tc>
          <w:tcPr>
            <w:tcW w:w="3402" w:type="dxa"/>
          </w:tcPr>
          <w:p w14:paraId="15BF08C7" w14:textId="7B096274" w:rsidR="00113EDE" w:rsidRDefault="00AF32AC" w:rsidP="00113EDE">
            <w:pPr>
              <w:spacing w:after="90"/>
            </w:pPr>
            <w:r>
              <w:t xml:space="preserve">Proven ability to implement successful change management initiatives/strategic initiatives within a university context. </w:t>
            </w:r>
          </w:p>
        </w:tc>
        <w:tc>
          <w:tcPr>
            <w:tcW w:w="1330" w:type="dxa"/>
          </w:tcPr>
          <w:p w14:paraId="15BF08C8" w14:textId="77777777" w:rsidR="00113EDE" w:rsidRDefault="00113EDE" w:rsidP="00113EDE">
            <w:pPr>
              <w:spacing w:after="90"/>
            </w:pPr>
          </w:p>
        </w:tc>
      </w:tr>
      <w:tr w:rsidR="00113EDE" w14:paraId="15BF08CE" w14:textId="77777777" w:rsidTr="00013C10">
        <w:tc>
          <w:tcPr>
            <w:tcW w:w="1617" w:type="dxa"/>
          </w:tcPr>
          <w:p w14:paraId="15BF08CA" w14:textId="221E4483" w:rsidR="00113EDE" w:rsidRPr="00FD5B0E" w:rsidRDefault="00113EDE" w:rsidP="00113EDE">
            <w:r w:rsidRPr="00FD5B0E">
              <w:t xml:space="preserve">Management </w:t>
            </w:r>
            <w:r>
              <w:t>and</w:t>
            </w:r>
            <w:r w:rsidRPr="00FD5B0E">
              <w:t xml:space="preserve"> teamwork</w:t>
            </w:r>
          </w:p>
        </w:tc>
        <w:tc>
          <w:tcPr>
            <w:tcW w:w="3402" w:type="dxa"/>
          </w:tcPr>
          <w:p w14:paraId="74880476" w14:textId="22D688BB" w:rsidR="000B3BDD" w:rsidRDefault="000B3BDD" w:rsidP="00113EDE">
            <w:pPr>
              <w:spacing w:after="90"/>
            </w:pPr>
            <w:r>
              <w:t xml:space="preserve">Proven ability to oversee people and resource management processes in order to deliver key </w:t>
            </w:r>
            <w:r w:rsidR="00AF32AC">
              <w:t>knowledge exchange/</w:t>
            </w:r>
            <w:r>
              <w:t>enterprise activities</w:t>
            </w:r>
            <w:r w:rsidR="00AF32AC">
              <w:t xml:space="preserve">, research or education initiatives. </w:t>
            </w:r>
          </w:p>
          <w:p w14:paraId="27BEF4A8" w14:textId="01B0378C" w:rsidR="00AD3068" w:rsidRDefault="00AD3068" w:rsidP="00113EDE">
            <w:pPr>
              <w:spacing w:after="90"/>
            </w:pPr>
            <w:r>
              <w:t xml:space="preserve">Proven ability to make a sustained contribution to academic leadership at </w:t>
            </w:r>
            <w:r w:rsidR="004C2F78">
              <w:t xml:space="preserve">School/Department </w:t>
            </w:r>
            <w:r w:rsidR="008F4754">
              <w:t>/</w:t>
            </w:r>
            <w:r>
              <w:t>faculty</w:t>
            </w:r>
            <w:r w:rsidR="008F4754">
              <w:t xml:space="preserve"> and across the University.</w:t>
            </w:r>
          </w:p>
          <w:p w14:paraId="4BC64036" w14:textId="550F20C9" w:rsidR="00AD3068" w:rsidRDefault="00AD3068" w:rsidP="00113EDE">
            <w:pPr>
              <w:spacing w:after="90"/>
            </w:pPr>
            <w:r>
              <w:t>Proven ability to demonstrate leadership abilities in Higher Education and to raise performance standards through own work areas.</w:t>
            </w:r>
          </w:p>
          <w:p w14:paraId="7A9A686E" w14:textId="77777777" w:rsidR="00113EDE" w:rsidRDefault="00AD3068" w:rsidP="00113EDE">
            <w:pPr>
              <w:spacing w:after="90"/>
            </w:pPr>
            <w:r>
              <w:t>Proven ability</w:t>
            </w:r>
            <w:r w:rsidR="00113EDE">
              <w:t xml:space="preserve"> to recognise and deal with obstacles and difficulties so that the team can deliver.</w:t>
            </w:r>
          </w:p>
          <w:p w14:paraId="10A5400C" w14:textId="77777777" w:rsidR="00F71805" w:rsidRPr="00210458" w:rsidRDefault="00F71805" w:rsidP="00F71805">
            <w:pPr>
              <w:pStyle w:val="TableParagraph"/>
              <w:rPr>
                <w:rFonts w:ascii="Lucida Sans" w:hAnsi="Lucida Sans"/>
                <w:sz w:val="18"/>
                <w:szCs w:val="18"/>
              </w:rPr>
            </w:pPr>
            <w:r w:rsidRPr="00210458">
              <w:rPr>
                <w:rFonts w:ascii="Lucida Sans" w:hAnsi="Lucida Sans"/>
                <w:sz w:val="18"/>
                <w:szCs w:val="18"/>
              </w:rPr>
              <w:t>Able to deliver the Line Manager’s expectations as stated in Appendix 2</w:t>
            </w:r>
          </w:p>
          <w:p w14:paraId="15BF08CB" w14:textId="3E04B135" w:rsidR="00F71805" w:rsidRDefault="00F71805" w:rsidP="00113EDE">
            <w:pPr>
              <w:spacing w:after="90"/>
            </w:pPr>
          </w:p>
        </w:tc>
        <w:tc>
          <w:tcPr>
            <w:tcW w:w="3402" w:type="dxa"/>
          </w:tcPr>
          <w:p w14:paraId="15BF08CC" w14:textId="2CB1C38C" w:rsidR="00113EDE" w:rsidRDefault="00113EDE" w:rsidP="00113EDE">
            <w:pPr>
              <w:spacing w:after="90"/>
            </w:pPr>
          </w:p>
        </w:tc>
        <w:tc>
          <w:tcPr>
            <w:tcW w:w="1330" w:type="dxa"/>
          </w:tcPr>
          <w:p w14:paraId="15BF08CD" w14:textId="77777777" w:rsidR="00113EDE" w:rsidRDefault="00113EDE" w:rsidP="00113EDE">
            <w:pPr>
              <w:spacing w:after="90"/>
            </w:pPr>
          </w:p>
        </w:tc>
      </w:tr>
      <w:tr w:rsidR="00113EDE" w14:paraId="15BF08D3" w14:textId="77777777" w:rsidTr="00013C10">
        <w:tc>
          <w:tcPr>
            <w:tcW w:w="1617" w:type="dxa"/>
          </w:tcPr>
          <w:p w14:paraId="15BF08CF" w14:textId="6952AC8B" w:rsidR="00113EDE" w:rsidRPr="00FD5B0E" w:rsidRDefault="00113EDE" w:rsidP="00113EDE">
            <w:r w:rsidRPr="00FD5B0E">
              <w:lastRenderedPageBreak/>
              <w:t xml:space="preserve">Communicating </w:t>
            </w:r>
            <w:r>
              <w:t>and</w:t>
            </w:r>
            <w:r w:rsidRPr="00FD5B0E">
              <w:t xml:space="preserve"> influencing</w:t>
            </w:r>
          </w:p>
        </w:tc>
        <w:tc>
          <w:tcPr>
            <w:tcW w:w="3402" w:type="dxa"/>
          </w:tcPr>
          <w:p w14:paraId="40699364" w14:textId="77777777" w:rsidR="00113EDE" w:rsidRDefault="00AD3068" w:rsidP="00113EDE">
            <w:pPr>
              <w:spacing w:after="90"/>
            </w:pPr>
            <w:r>
              <w:t>Proven ability to establish and build major relationships with stakeholders.</w:t>
            </w:r>
          </w:p>
          <w:p w14:paraId="743A3918" w14:textId="78AD345E" w:rsidR="00AD3068" w:rsidRDefault="00AD3068" w:rsidP="00113EDE">
            <w:pPr>
              <w:spacing w:after="90"/>
            </w:pPr>
            <w:r>
              <w:t>Proven ability to act as the main figurehead for key activities, developing important national and international contacts.</w:t>
            </w:r>
          </w:p>
          <w:p w14:paraId="57DCFFB8" w14:textId="3FE1D234" w:rsidR="00AD3068" w:rsidRDefault="00AD3068" w:rsidP="00113EDE">
            <w:pPr>
              <w:spacing w:after="90"/>
            </w:pPr>
            <w:r>
              <w:t>Able to contribute to the development of the University’s profile in the UK and internationally.</w:t>
            </w:r>
          </w:p>
          <w:p w14:paraId="671F53DD" w14:textId="77777777" w:rsidR="00AD3068" w:rsidRDefault="00AD3068" w:rsidP="00113EDE">
            <w:pPr>
              <w:spacing w:after="90"/>
            </w:pPr>
            <w:r>
              <w:t>Proven ability to use influence to develop positions or strategies.</w:t>
            </w:r>
          </w:p>
          <w:p w14:paraId="37E12545" w14:textId="225E9F0A" w:rsidR="00F71805" w:rsidRDefault="00F71805" w:rsidP="00F71805">
            <w:pPr>
              <w:spacing w:after="90"/>
            </w:pPr>
            <w:r>
              <w:t>Proven ability to provide expert guidance to colleagues in own team, other work areas and institutions to develop understanding and resolve complex problems</w:t>
            </w:r>
          </w:p>
          <w:p w14:paraId="15BF08D0" w14:textId="44A7CB97" w:rsidR="00F71805" w:rsidRDefault="00F71805" w:rsidP="00113EDE">
            <w:pPr>
              <w:spacing w:after="90"/>
            </w:pPr>
          </w:p>
        </w:tc>
        <w:tc>
          <w:tcPr>
            <w:tcW w:w="3402" w:type="dxa"/>
          </w:tcPr>
          <w:p w14:paraId="15BF08D1" w14:textId="6F8313F9" w:rsidR="00113EDE" w:rsidRDefault="00113EDE" w:rsidP="00113EDE">
            <w:pPr>
              <w:spacing w:after="90"/>
            </w:pPr>
          </w:p>
        </w:tc>
        <w:tc>
          <w:tcPr>
            <w:tcW w:w="1330" w:type="dxa"/>
          </w:tcPr>
          <w:p w14:paraId="15BF08D2" w14:textId="77777777" w:rsidR="00113EDE" w:rsidRDefault="00113EDE" w:rsidP="00113EDE">
            <w:pPr>
              <w:spacing w:after="90"/>
            </w:pPr>
          </w:p>
        </w:tc>
      </w:tr>
      <w:tr w:rsidR="00113EDE" w14:paraId="15BF08D8" w14:textId="77777777" w:rsidTr="00013C10">
        <w:tc>
          <w:tcPr>
            <w:tcW w:w="1617" w:type="dxa"/>
          </w:tcPr>
          <w:p w14:paraId="15BF08D4" w14:textId="2D482B09" w:rsidR="00113EDE" w:rsidRPr="00FD5B0E" w:rsidRDefault="00113EDE" w:rsidP="00113EDE">
            <w:r w:rsidRPr="00FD5B0E">
              <w:t xml:space="preserve">Other skills </w:t>
            </w:r>
            <w:r>
              <w:t>and</w:t>
            </w:r>
            <w:r w:rsidRPr="00FD5B0E">
              <w:t xml:space="preserve"> behaviours</w:t>
            </w:r>
          </w:p>
        </w:tc>
        <w:tc>
          <w:tcPr>
            <w:tcW w:w="3402" w:type="dxa"/>
          </w:tcPr>
          <w:p w14:paraId="0CB08803" w14:textId="77777777" w:rsidR="002E6049" w:rsidRPr="0008103C" w:rsidRDefault="002E6049" w:rsidP="002E6049">
            <w:pPr>
              <w:spacing w:after="90"/>
            </w:pPr>
            <w:r w:rsidRPr="0008103C">
              <w:t>Ability to understand the differences between academic and corporate cultures and to work productively within both</w:t>
            </w:r>
          </w:p>
          <w:p w14:paraId="6B5E8798" w14:textId="77777777" w:rsidR="002E6049" w:rsidRPr="0008103C" w:rsidRDefault="002E6049" w:rsidP="002E6049">
            <w:pPr>
              <w:spacing w:after="90"/>
            </w:pPr>
            <w:r w:rsidRPr="0008103C">
              <w:t>Collaborative style – strong relationship builder – ‘uncompromising reasonableness’</w:t>
            </w:r>
          </w:p>
          <w:p w14:paraId="2484CE60" w14:textId="77777777" w:rsidR="002E6049" w:rsidRPr="0008103C" w:rsidRDefault="002E6049" w:rsidP="002E6049">
            <w:pPr>
              <w:spacing w:after="90"/>
            </w:pPr>
            <w:r w:rsidRPr="0008103C">
              <w:t>Compliance with relevant Health &amp; Safety issues</w:t>
            </w:r>
          </w:p>
          <w:p w14:paraId="15EE11F8" w14:textId="77777777" w:rsidR="002E6049" w:rsidRPr="0008103C" w:rsidRDefault="002E6049" w:rsidP="002E6049">
            <w:pPr>
              <w:rPr>
                <w:rFonts w:cs="Calibri"/>
                <w:szCs w:val="18"/>
              </w:rPr>
            </w:pPr>
            <w:r w:rsidRPr="0008103C">
              <w:rPr>
                <w:rFonts w:cs="Calibri"/>
                <w:szCs w:val="18"/>
              </w:rPr>
              <w:t xml:space="preserve">To role model the Southampton behaviours (see appendix 1) and work with the management team to embed them as a way of working across the department / directorate / University </w:t>
            </w:r>
          </w:p>
          <w:p w14:paraId="15BF08D5" w14:textId="2307FEBA" w:rsidR="00113EDE" w:rsidRDefault="00113EDE" w:rsidP="002E6049"/>
        </w:tc>
        <w:tc>
          <w:tcPr>
            <w:tcW w:w="3402" w:type="dxa"/>
          </w:tcPr>
          <w:p w14:paraId="15BF08D6" w14:textId="77777777" w:rsidR="00113EDE" w:rsidRDefault="00113EDE" w:rsidP="00113EDE">
            <w:pPr>
              <w:spacing w:after="90"/>
            </w:pPr>
          </w:p>
        </w:tc>
        <w:tc>
          <w:tcPr>
            <w:tcW w:w="1330" w:type="dxa"/>
          </w:tcPr>
          <w:p w14:paraId="15BF08D7" w14:textId="77777777" w:rsidR="00113EDE" w:rsidRDefault="00113EDE" w:rsidP="00113EDE">
            <w:pPr>
              <w:spacing w:after="90"/>
            </w:pPr>
          </w:p>
        </w:tc>
      </w:tr>
      <w:tr w:rsidR="00113EDE" w14:paraId="15BF08DD" w14:textId="77777777" w:rsidTr="00013C10">
        <w:tc>
          <w:tcPr>
            <w:tcW w:w="1617" w:type="dxa"/>
          </w:tcPr>
          <w:p w14:paraId="15BF08D9" w14:textId="77777777" w:rsidR="00113EDE" w:rsidRPr="00FD5B0E" w:rsidRDefault="00113EDE" w:rsidP="00113EDE">
            <w:r w:rsidRPr="00FD5B0E">
              <w:t>Special requirements</w:t>
            </w:r>
          </w:p>
        </w:tc>
        <w:tc>
          <w:tcPr>
            <w:tcW w:w="3402" w:type="dxa"/>
          </w:tcPr>
          <w:p w14:paraId="15BF08DA" w14:textId="434B5770" w:rsidR="00113EDE" w:rsidRDefault="00113EDE" w:rsidP="000B3BDD">
            <w:pPr>
              <w:spacing w:after="90"/>
            </w:pPr>
            <w:r w:rsidRPr="00401EAA">
              <w:t>Able to attend national and international conferences</w:t>
            </w:r>
            <w:r w:rsidR="002E6049">
              <w:t>/enterprise events</w:t>
            </w:r>
            <w:r w:rsidRPr="00401EAA">
              <w:t xml:space="preserve"> </w:t>
            </w:r>
            <w:r w:rsidR="000B3BDD">
              <w:t>as required.</w:t>
            </w:r>
          </w:p>
        </w:tc>
        <w:tc>
          <w:tcPr>
            <w:tcW w:w="3402" w:type="dxa"/>
          </w:tcPr>
          <w:p w14:paraId="15BF08DB" w14:textId="77777777" w:rsidR="00113EDE" w:rsidRDefault="00113EDE" w:rsidP="00113EDE">
            <w:pPr>
              <w:spacing w:after="90"/>
            </w:pPr>
          </w:p>
        </w:tc>
        <w:tc>
          <w:tcPr>
            <w:tcW w:w="1330" w:type="dxa"/>
          </w:tcPr>
          <w:p w14:paraId="15BF08DC" w14:textId="77777777" w:rsidR="00113EDE" w:rsidRDefault="00113EDE" w:rsidP="00113EDE">
            <w:pPr>
              <w:spacing w:after="90"/>
            </w:pPr>
          </w:p>
        </w:tc>
      </w:tr>
    </w:tbl>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720461"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74B58CA1" w:rsidR="00D3349E" w:rsidRDefault="00720461" w:rsidP="00E264FD">
            <w:sdt>
              <w:sdtPr>
                <w:id w:val="-174965147"/>
                <w14:checkbox>
                  <w14:checked w14:val="1"/>
                  <w14:checkedState w14:val="2612" w14:font="MS Gothic"/>
                  <w14:uncheckedState w14:val="2610" w14:font="MS Gothic"/>
                </w14:checkbox>
              </w:sdtPr>
              <w:sdtEndPr/>
              <w:sdtContent>
                <w:r w:rsidR="00F71805">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3E1000F" w:rsidR="0012209D" w:rsidRPr="009957AE" w:rsidRDefault="00F71805" w:rsidP="00321CAA">
            <w:pPr>
              <w:rPr>
                <w:sz w:val="16"/>
                <w:szCs w:val="16"/>
              </w:rPr>
            </w:pPr>
            <w:r>
              <w:rPr>
                <w:sz w:val="16"/>
                <w:szCs w:val="16"/>
              </w:rPr>
              <w:t>x</w:t>
            </w: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054C6C0E" w:rsidR="00F71805" w:rsidRDefault="00F71805" w:rsidP="0012209D"/>
    <w:p w14:paraId="5FDA17B2" w14:textId="77777777" w:rsidR="00F71805" w:rsidRDefault="00F71805">
      <w:pPr>
        <w:overflowPunct/>
        <w:autoSpaceDE/>
        <w:autoSpaceDN/>
        <w:adjustRightInd/>
        <w:spacing w:before="0" w:after="0"/>
        <w:textAlignment w:val="auto"/>
      </w:pPr>
      <w:r>
        <w:br w:type="page"/>
      </w:r>
    </w:p>
    <w:p w14:paraId="3C3D4474" w14:textId="77777777" w:rsidR="00F71805" w:rsidRPr="00BB751F" w:rsidRDefault="00F71805" w:rsidP="00F71805">
      <w:pPr>
        <w:overflowPunct/>
        <w:autoSpaceDE/>
        <w:autoSpaceDN/>
        <w:adjustRightInd/>
        <w:spacing w:before="0" w:after="0"/>
        <w:textAlignment w:val="auto"/>
      </w:pPr>
      <w:r>
        <w:rPr>
          <w:color w:val="808080"/>
          <w:sz w:val="24"/>
        </w:rPr>
        <w:lastRenderedPageBreak/>
        <w:t xml:space="preserve">Appendix 1. </w:t>
      </w:r>
      <w:r w:rsidRPr="00210458">
        <w:rPr>
          <w:color w:val="808080"/>
          <w:sz w:val="32"/>
          <w:szCs w:val="32"/>
        </w:rPr>
        <w:t>Embedding Collegiality</w:t>
      </w:r>
    </w:p>
    <w:p w14:paraId="1577EFD5" w14:textId="77777777" w:rsidR="00F71805" w:rsidRPr="00210458" w:rsidRDefault="00F71805" w:rsidP="00F71805">
      <w:pPr>
        <w:pStyle w:val="BodyText"/>
        <w:spacing w:before="276"/>
        <w:ind w:right="758"/>
        <w:rPr>
          <w:rFonts w:ascii="Lucida Sans" w:hAnsi="Lucida Sans" w:cstheme="minorHAnsi"/>
          <w:b w:val="0"/>
          <w:sz w:val="18"/>
          <w:szCs w:val="18"/>
        </w:rPr>
      </w:pPr>
      <w:r w:rsidRPr="00210458">
        <w:rPr>
          <w:rFonts w:ascii="Lucida Sans" w:hAnsi="Lucida Sans" w:cstheme="minorHAnsi"/>
          <w:b w:val="0"/>
          <w:sz w:val="18"/>
          <w:szCs w:val="18"/>
        </w:rPr>
        <w:t>Collegiality represents one of the four core principles of the University; Collegiality, Quality, Internationalisation and Sustainability. Our Southampton Behaviours set out our expectations of all staff across the University to support the achievement of our strategy.</w:t>
      </w:r>
    </w:p>
    <w:p w14:paraId="3538821D" w14:textId="77777777" w:rsidR="00F71805" w:rsidRDefault="00F71805" w:rsidP="00F71805">
      <w:pPr>
        <w:pStyle w:val="BodyText"/>
        <w:spacing w:before="10"/>
        <w:rPr>
          <w:sz w:val="17"/>
        </w:rPr>
      </w:pPr>
    </w:p>
    <w:tbl>
      <w:tblPr>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8186"/>
      </w:tblGrid>
      <w:tr w:rsidR="00F71805" w14:paraId="606B88E0" w14:textId="77777777" w:rsidTr="00626F3F">
        <w:trPr>
          <w:trHeight w:val="330"/>
        </w:trPr>
        <w:tc>
          <w:tcPr>
            <w:tcW w:w="1560" w:type="dxa"/>
            <w:tcBorders>
              <w:bottom w:val="single" w:sz="8" w:space="0" w:color="000000"/>
              <w:right w:val="single" w:sz="8" w:space="0" w:color="000000"/>
            </w:tcBorders>
          </w:tcPr>
          <w:p w14:paraId="53E4742A" w14:textId="77777777" w:rsidR="00F71805" w:rsidRDefault="00F71805" w:rsidP="00626F3F">
            <w:pPr>
              <w:pStyle w:val="TableParagraph"/>
              <w:spacing w:before="43"/>
              <w:ind w:left="410"/>
              <w:rPr>
                <w:b/>
                <w:sz w:val="18"/>
              </w:rPr>
            </w:pPr>
            <w:r>
              <w:rPr>
                <w:b/>
                <w:sz w:val="18"/>
              </w:rPr>
              <w:t>All staff</w:t>
            </w:r>
          </w:p>
        </w:tc>
        <w:tc>
          <w:tcPr>
            <w:tcW w:w="8186" w:type="dxa"/>
            <w:tcBorders>
              <w:left w:val="single" w:sz="8" w:space="0" w:color="000000"/>
              <w:bottom w:val="single" w:sz="8" w:space="0" w:color="000000"/>
            </w:tcBorders>
          </w:tcPr>
          <w:p w14:paraId="7E496318" w14:textId="77777777" w:rsidR="00F71805" w:rsidRDefault="00F71805" w:rsidP="00626F3F">
            <w:pPr>
              <w:pStyle w:val="TableParagraph"/>
              <w:spacing w:before="43"/>
              <w:ind w:left="3604" w:right="3602"/>
              <w:jc w:val="center"/>
              <w:rPr>
                <w:b/>
                <w:sz w:val="18"/>
              </w:rPr>
            </w:pPr>
            <w:r>
              <w:rPr>
                <w:b/>
                <w:sz w:val="18"/>
              </w:rPr>
              <w:t>Behaviour</w:t>
            </w:r>
          </w:p>
        </w:tc>
      </w:tr>
      <w:tr w:rsidR="00F71805" w14:paraId="4E20A886" w14:textId="77777777" w:rsidTr="00626F3F">
        <w:trPr>
          <w:trHeight w:val="481"/>
        </w:trPr>
        <w:tc>
          <w:tcPr>
            <w:tcW w:w="1560" w:type="dxa"/>
            <w:vMerge w:val="restart"/>
            <w:tcBorders>
              <w:top w:val="single" w:sz="8" w:space="0" w:color="000000"/>
              <w:bottom w:val="single" w:sz="8" w:space="0" w:color="000000"/>
              <w:right w:val="single" w:sz="8" w:space="0" w:color="000000"/>
            </w:tcBorders>
            <w:shd w:val="clear" w:color="auto" w:fill="DD4713"/>
          </w:tcPr>
          <w:p w14:paraId="186EEEA4" w14:textId="77777777" w:rsidR="00F71805" w:rsidRDefault="00F71805" w:rsidP="00626F3F">
            <w:pPr>
              <w:pStyle w:val="TableParagraph"/>
              <w:rPr>
                <w:sz w:val="20"/>
              </w:rPr>
            </w:pPr>
          </w:p>
          <w:p w14:paraId="72C5C751" w14:textId="77777777" w:rsidR="00F71805" w:rsidRDefault="00F71805" w:rsidP="00626F3F">
            <w:pPr>
              <w:pStyle w:val="TableParagraph"/>
              <w:spacing w:before="160" w:line="276" w:lineRule="auto"/>
              <w:ind w:left="268" w:right="236" w:firstLine="110"/>
              <w:rPr>
                <w:b/>
                <w:sz w:val="18"/>
              </w:rPr>
            </w:pPr>
            <w:r>
              <w:rPr>
                <w:b/>
                <w:color w:val="FFFFFF"/>
                <w:sz w:val="18"/>
              </w:rPr>
              <w:t>Personal Leadership</w:t>
            </w:r>
          </w:p>
        </w:tc>
        <w:tc>
          <w:tcPr>
            <w:tcW w:w="8186" w:type="dxa"/>
            <w:tcBorders>
              <w:top w:val="single" w:sz="8" w:space="0" w:color="000000"/>
              <w:left w:val="single" w:sz="8" w:space="0" w:color="000000"/>
            </w:tcBorders>
          </w:tcPr>
          <w:p w14:paraId="287C620B" w14:textId="77777777" w:rsidR="00F71805" w:rsidRDefault="00F71805" w:rsidP="00626F3F">
            <w:pPr>
              <w:pStyle w:val="TableParagraph"/>
              <w:ind w:left="102"/>
              <w:rPr>
                <w:sz w:val="18"/>
              </w:rPr>
            </w:pPr>
            <w:r>
              <w:rPr>
                <w:sz w:val="18"/>
              </w:rPr>
              <w:t>I take personal responsibility for my own actions and an active approach towards my</w:t>
            </w:r>
          </w:p>
          <w:p w14:paraId="46C9FDF6" w14:textId="77777777" w:rsidR="00F71805" w:rsidRDefault="00F71805" w:rsidP="00626F3F">
            <w:pPr>
              <w:pStyle w:val="TableParagraph"/>
              <w:spacing w:before="33"/>
              <w:ind w:left="102"/>
              <w:rPr>
                <w:sz w:val="18"/>
              </w:rPr>
            </w:pPr>
            <w:r>
              <w:rPr>
                <w:sz w:val="18"/>
              </w:rPr>
              <w:t>development</w:t>
            </w:r>
          </w:p>
        </w:tc>
      </w:tr>
      <w:tr w:rsidR="00F71805" w14:paraId="4FBF8B24" w14:textId="77777777" w:rsidTr="00626F3F">
        <w:trPr>
          <w:trHeight w:val="244"/>
        </w:trPr>
        <w:tc>
          <w:tcPr>
            <w:tcW w:w="1560" w:type="dxa"/>
            <w:vMerge/>
            <w:tcBorders>
              <w:top w:val="nil"/>
              <w:bottom w:val="single" w:sz="8" w:space="0" w:color="000000"/>
              <w:right w:val="single" w:sz="8" w:space="0" w:color="000000"/>
            </w:tcBorders>
            <w:shd w:val="clear" w:color="auto" w:fill="DD4713"/>
          </w:tcPr>
          <w:p w14:paraId="55EDF492" w14:textId="77777777" w:rsidR="00F71805" w:rsidRDefault="00F71805" w:rsidP="00626F3F">
            <w:pPr>
              <w:rPr>
                <w:sz w:val="2"/>
                <w:szCs w:val="2"/>
              </w:rPr>
            </w:pPr>
          </w:p>
        </w:tc>
        <w:tc>
          <w:tcPr>
            <w:tcW w:w="8186" w:type="dxa"/>
            <w:tcBorders>
              <w:left w:val="single" w:sz="8" w:space="0" w:color="000000"/>
            </w:tcBorders>
          </w:tcPr>
          <w:p w14:paraId="24CC615A" w14:textId="77777777" w:rsidR="00F71805" w:rsidRDefault="00F71805" w:rsidP="00626F3F">
            <w:pPr>
              <w:pStyle w:val="TableParagraph"/>
              <w:spacing w:before="8"/>
              <w:ind w:left="102"/>
              <w:rPr>
                <w:sz w:val="18"/>
              </w:rPr>
            </w:pPr>
            <w:r>
              <w:rPr>
                <w:sz w:val="18"/>
              </w:rPr>
              <w:t>I reflect on my own behaviour, actively seek feedback and adapt my behaviour accordingly</w:t>
            </w:r>
          </w:p>
        </w:tc>
      </w:tr>
      <w:tr w:rsidR="00F71805" w14:paraId="24B60E92" w14:textId="77777777" w:rsidTr="00626F3F">
        <w:trPr>
          <w:trHeight w:val="244"/>
        </w:trPr>
        <w:tc>
          <w:tcPr>
            <w:tcW w:w="1560" w:type="dxa"/>
            <w:vMerge/>
            <w:tcBorders>
              <w:top w:val="nil"/>
              <w:bottom w:val="single" w:sz="8" w:space="0" w:color="000000"/>
              <w:right w:val="single" w:sz="8" w:space="0" w:color="000000"/>
            </w:tcBorders>
            <w:shd w:val="clear" w:color="auto" w:fill="DD4713"/>
          </w:tcPr>
          <w:p w14:paraId="0249CEEE" w14:textId="77777777" w:rsidR="00F71805" w:rsidRDefault="00F71805" w:rsidP="00626F3F">
            <w:pPr>
              <w:rPr>
                <w:sz w:val="2"/>
                <w:szCs w:val="2"/>
              </w:rPr>
            </w:pPr>
          </w:p>
        </w:tc>
        <w:tc>
          <w:tcPr>
            <w:tcW w:w="8186" w:type="dxa"/>
            <w:tcBorders>
              <w:left w:val="single" w:sz="8" w:space="0" w:color="000000"/>
            </w:tcBorders>
          </w:tcPr>
          <w:p w14:paraId="649434AF" w14:textId="77777777" w:rsidR="00F71805" w:rsidRDefault="00F71805" w:rsidP="00626F3F">
            <w:pPr>
              <w:pStyle w:val="TableParagraph"/>
              <w:spacing w:before="8"/>
              <w:ind w:left="102"/>
              <w:rPr>
                <w:sz w:val="18"/>
              </w:rPr>
            </w:pPr>
            <w:r>
              <w:rPr>
                <w:sz w:val="18"/>
              </w:rPr>
              <w:t>I show pride, passion and enthusiasm for our University community</w:t>
            </w:r>
          </w:p>
        </w:tc>
      </w:tr>
      <w:tr w:rsidR="00F71805" w14:paraId="54F1ABD5" w14:textId="77777777" w:rsidTr="00626F3F">
        <w:trPr>
          <w:trHeight w:val="248"/>
        </w:trPr>
        <w:tc>
          <w:tcPr>
            <w:tcW w:w="1560" w:type="dxa"/>
            <w:vMerge/>
            <w:tcBorders>
              <w:top w:val="nil"/>
              <w:bottom w:val="single" w:sz="8" w:space="0" w:color="000000"/>
              <w:right w:val="single" w:sz="8" w:space="0" w:color="000000"/>
            </w:tcBorders>
            <w:shd w:val="clear" w:color="auto" w:fill="DD4713"/>
          </w:tcPr>
          <w:p w14:paraId="7759BE38" w14:textId="77777777" w:rsidR="00F71805" w:rsidRDefault="00F71805" w:rsidP="00626F3F">
            <w:pPr>
              <w:rPr>
                <w:sz w:val="2"/>
                <w:szCs w:val="2"/>
              </w:rPr>
            </w:pPr>
          </w:p>
        </w:tc>
        <w:tc>
          <w:tcPr>
            <w:tcW w:w="8186" w:type="dxa"/>
            <w:tcBorders>
              <w:left w:val="single" w:sz="8" w:space="0" w:color="000000"/>
              <w:bottom w:val="single" w:sz="8" w:space="0" w:color="000000"/>
            </w:tcBorders>
          </w:tcPr>
          <w:p w14:paraId="48E3599D" w14:textId="77777777" w:rsidR="00F71805" w:rsidRDefault="00F71805" w:rsidP="00626F3F">
            <w:pPr>
              <w:pStyle w:val="TableParagraph"/>
              <w:spacing w:before="5"/>
              <w:ind w:left="102"/>
              <w:rPr>
                <w:sz w:val="18"/>
              </w:rPr>
            </w:pPr>
            <w:r>
              <w:rPr>
                <w:sz w:val="18"/>
              </w:rPr>
              <w:t>I demonstrate respect and build trust with an open and honest approach</w:t>
            </w:r>
          </w:p>
        </w:tc>
      </w:tr>
      <w:tr w:rsidR="00F71805" w14:paraId="54274C66" w14:textId="77777777" w:rsidTr="00626F3F">
        <w:trPr>
          <w:trHeight w:val="244"/>
        </w:trPr>
        <w:tc>
          <w:tcPr>
            <w:tcW w:w="9746" w:type="dxa"/>
            <w:gridSpan w:val="2"/>
            <w:tcBorders>
              <w:top w:val="single" w:sz="8" w:space="0" w:color="000000"/>
              <w:bottom w:val="single" w:sz="8" w:space="0" w:color="000000"/>
            </w:tcBorders>
            <w:shd w:val="clear" w:color="auto" w:fill="808080"/>
          </w:tcPr>
          <w:p w14:paraId="5659F560" w14:textId="77777777" w:rsidR="00F71805" w:rsidRDefault="00F71805" w:rsidP="00626F3F">
            <w:pPr>
              <w:pStyle w:val="TableParagraph"/>
              <w:rPr>
                <w:rFonts w:ascii="Times New Roman"/>
                <w:sz w:val="16"/>
              </w:rPr>
            </w:pPr>
          </w:p>
        </w:tc>
      </w:tr>
      <w:tr w:rsidR="00F71805" w14:paraId="72250D40" w14:textId="77777777" w:rsidTr="00626F3F">
        <w:trPr>
          <w:trHeight w:val="239"/>
        </w:trPr>
        <w:tc>
          <w:tcPr>
            <w:tcW w:w="1560" w:type="dxa"/>
            <w:vMerge w:val="restart"/>
            <w:tcBorders>
              <w:top w:val="single" w:sz="8" w:space="0" w:color="000000"/>
              <w:bottom w:val="single" w:sz="8" w:space="0" w:color="000000"/>
              <w:right w:val="single" w:sz="8" w:space="0" w:color="000000"/>
            </w:tcBorders>
            <w:shd w:val="clear" w:color="auto" w:fill="005C84"/>
          </w:tcPr>
          <w:p w14:paraId="02AACDCF" w14:textId="77777777" w:rsidR="00F71805" w:rsidRDefault="00F71805" w:rsidP="00626F3F">
            <w:pPr>
              <w:pStyle w:val="TableParagraph"/>
              <w:rPr>
                <w:sz w:val="20"/>
              </w:rPr>
            </w:pPr>
          </w:p>
          <w:p w14:paraId="6DA62F20" w14:textId="77777777" w:rsidR="00F71805" w:rsidRDefault="00F71805" w:rsidP="00626F3F">
            <w:pPr>
              <w:pStyle w:val="TableParagraph"/>
              <w:spacing w:before="11"/>
              <w:rPr>
                <w:sz w:val="23"/>
              </w:rPr>
            </w:pPr>
          </w:p>
          <w:p w14:paraId="1B6ACFEC" w14:textId="77777777" w:rsidR="00F71805" w:rsidRDefault="00F71805" w:rsidP="00626F3F">
            <w:pPr>
              <w:pStyle w:val="TableParagraph"/>
              <w:spacing w:line="276" w:lineRule="auto"/>
              <w:ind w:left="357" w:right="326" w:firstLine="36"/>
              <w:rPr>
                <w:b/>
                <w:sz w:val="18"/>
              </w:rPr>
            </w:pPr>
            <w:r>
              <w:rPr>
                <w:b/>
                <w:color w:val="FFFFFF"/>
                <w:sz w:val="18"/>
              </w:rPr>
              <w:t>Working Together</w:t>
            </w:r>
          </w:p>
        </w:tc>
        <w:tc>
          <w:tcPr>
            <w:tcW w:w="8186" w:type="dxa"/>
            <w:tcBorders>
              <w:top w:val="single" w:sz="8" w:space="0" w:color="000000"/>
              <w:left w:val="single" w:sz="8" w:space="0" w:color="000000"/>
            </w:tcBorders>
          </w:tcPr>
          <w:p w14:paraId="6BB74D80" w14:textId="77777777" w:rsidR="00F71805" w:rsidRDefault="00F71805" w:rsidP="00626F3F">
            <w:pPr>
              <w:pStyle w:val="TableParagraph"/>
              <w:ind w:left="102"/>
              <w:rPr>
                <w:sz w:val="18"/>
              </w:rPr>
            </w:pPr>
            <w:r>
              <w:rPr>
                <w:sz w:val="18"/>
              </w:rPr>
              <w:t>I work collaboratively and build productive relationships across our University and beyond</w:t>
            </w:r>
          </w:p>
        </w:tc>
      </w:tr>
      <w:tr w:rsidR="00F71805" w14:paraId="119CBE32" w14:textId="77777777" w:rsidTr="00626F3F">
        <w:trPr>
          <w:trHeight w:val="244"/>
        </w:trPr>
        <w:tc>
          <w:tcPr>
            <w:tcW w:w="1560" w:type="dxa"/>
            <w:vMerge/>
            <w:tcBorders>
              <w:top w:val="nil"/>
              <w:bottom w:val="single" w:sz="8" w:space="0" w:color="000000"/>
              <w:right w:val="single" w:sz="8" w:space="0" w:color="000000"/>
            </w:tcBorders>
            <w:shd w:val="clear" w:color="auto" w:fill="005C84"/>
          </w:tcPr>
          <w:p w14:paraId="127A43DE" w14:textId="77777777" w:rsidR="00F71805" w:rsidRDefault="00F71805" w:rsidP="00626F3F">
            <w:pPr>
              <w:rPr>
                <w:sz w:val="2"/>
                <w:szCs w:val="2"/>
              </w:rPr>
            </w:pPr>
          </w:p>
        </w:tc>
        <w:tc>
          <w:tcPr>
            <w:tcW w:w="8186" w:type="dxa"/>
            <w:tcBorders>
              <w:left w:val="single" w:sz="8" w:space="0" w:color="000000"/>
            </w:tcBorders>
          </w:tcPr>
          <w:p w14:paraId="778A599C" w14:textId="77777777" w:rsidR="00F71805" w:rsidRDefault="00F71805" w:rsidP="00626F3F">
            <w:pPr>
              <w:pStyle w:val="TableParagraph"/>
              <w:spacing w:before="5"/>
              <w:ind w:left="102"/>
              <w:rPr>
                <w:sz w:val="18"/>
              </w:rPr>
            </w:pPr>
            <w:r>
              <w:rPr>
                <w:sz w:val="18"/>
              </w:rPr>
              <w:t>I actively listen to others and communicate clearly and appropriately with everyone</w:t>
            </w:r>
          </w:p>
        </w:tc>
      </w:tr>
      <w:tr w:rsidR="00F71805" w14:paraId="20C7ECF0" w14:textId="77777777" w:rsidTr="00626F3F">
        <w:trPr>
          <w:trHeight w:val="486"/>
        </w:trPr>
        <w:tc>
          <w:tcPr>
            <w:tcW w:w="1560" w:type="dxa"/>
            <w:vMerge/>
            <w:tcBorders>
              <w:top w:val="nil"/>
              <w:bottom w:val="single" w:sz="8" w:space="0" w:color="000000"/>
              <w:right w:val="single" w:sz="8" w:space="0" w:color="000000"/>
            </w:tcBorders>
            <w:shd w:val="clear" w:color="auto" w:fill="005C84"/>
          </w:tcPr>
          <w:p w14:paraId="453935D7" w14:textId="77777777" w:rsidR="00F71805" w:rsidRDefault="00F71805" w:rsidP="00626F3F">
            <w:pPr>
              <w:rPr>
                <w:sz w:val="2"/>
                <w:szCs w:val="2"/>
              </w:rPr>
            </w:pPr>
          </w:p>
        </w:tc>
        <w:tc>
          <w:tcPr>
            <w:tcW w:w="8186" w:type="dxa"/>
            <w:tcBorders>
              <w:left w:val="single" w:sz="8" w:space="0" w:color="000000"/>
            </w:tcBorders>
          </w:tcPr>
          <w:p w14:paraId="3ED3635B" w14:textId="77777777" w:rsidR="00F71805" w:rsidRDefault="00F71805" w:rsidP="00626F3F">
            <w:pPr>
              <w:pStyle w:val="TableParagraph"/>
              <w:spacing w:before="5"/>
              <w:ind w:left="102"/>
              <w:rPr>
                <w:sz w:val="18"/>
              </w:rPr>
            </w:pPr>
            <w:r>
              <w:rPr>
                <w:sz w:val="18"/>
              </w:rPr>
              <w:t>I take an inclusive approach, value the differences that people bring and encourage others</w:t>
            </w:r>
          </w:p>
          <w:p w14:paraId="4E976343" w14:textId="77777777" w:rsidR="00F71805" w:rsidRDefault="00F71805" w:rsidP="00626F3F">
            <w:pPr>
              <w:pStyle w:val="TableParagraph"/>
              <w:spacing w:before="33"/>
              <w:ind w:left="102"/>
              <w:rPr>
                <w:sz w:val="18"/>
              </w:rPr>
            </w:pPr>
            <w:r>
              <w:rPr>
                <w:sz w:val="18"/>
              </w:rPr>
              <w:t>to contribute and flourish</w:t>
            </w:r>
          </w:p>
        </w:tc>
      </w:tr>
      <w:tr w:rsidR="00F71805" w14:paraId="3C5523B4" w14:textId="77777777" w:rsidTr="00626F3F">
        <w:trPr>
          <w:trHeight w:val="494"/>
        </w:trPr>
        <w:tc>
          <w:tcPr>
            <w:tcW w:w="1560" w:type="dxa"/>
            <w:vMerge/>
            <w:tcBorders>
              <w:top w:val="nil"/>
              <w:bottom w:val="single" w:sz="8" w:space="0" w:color="000000"/>
              <w:right w:val="single" w:sz="8" w:space="0" w:color="000000"/>
            </w:tcBorders>
            <w:shd w:val="clear" w:color="auto" w:fill="005C84"/>
          </w:tcPr>
          <w:p w14:paraId="30D986BC" w14:textId="77777777" w:rsidR="00F71805" w:rsidRDefault="00F71805" w:rsidP="00626F3F">
            <w:pPr>
              <w:rPr>
                <w:sz w:val="2"/>
                <w:szCs w:val="2"/>
              </w:rPr>
            </w:pPr>
          </w:p>
        </w:tc>
        <w:tc>
          <w:tcPr>
            <w:tcW w:w="8186" w:type="dxa"/>
            <w:tcBorders>
              <w:left w:val="single" w:sz="8" w:space="0" w:color="000000"/>
              <w:bottom w:val="single" w:sz="8" w:space="0" w:color="000000"/>
            </w:tcBorders>
          </w:tcPr>
          <w:p w14:paraId="2412A215" w14:textId="77777777" w:rsidR="00F71805" w:rsidRDefault="00F71805" w:rsidP="00626F3F">
            <w:pPr>
              <w:pStyle w:val="TableParagraph"/>
              <w:spacing w:before="8"/>
              <w:ind w:left="102"/>
              <w:rPr>
                <w:sz w:val="18"/>
              </w:rPr>
            </w:pPr>
            <w:r>
              <w:rPr>
                <w:sz w:val="18"/>
              </w:rPr>
              <w:t>I proactively work through challenge and conflict, considering others’ views to achieve</w:t>
            </w:r>
          </w:p>
          <w:p w14:paraId="79E0B38D" w14:textId="77777777" w:rsidR="00F71805" w:rsidRDefault="00F71805" w:rsidP="00626F3F">
            <w:pPr>
              <w:pStyle w:val="TableParagraph"/>
              <w:spacing w:before="31"/>
              <w:ind w:left="102"/>
              <w:rPr>
                <w:sz w:val="18"/>
              </w:rPr>
            </w:pPr>
            <w:r>
              <w:rPr>
                <w:sz w:val="18"/>
              </w:rPr>
              <w:t>positive and productive outcomes</w:t>
            </w:r>
          </w:p>
        </w:tc>
      </w:tr>
      <w:tr w:rsidR="00F71805" w14:paraId="3A88B458" w14:textId="77777777" w:rsidTr="00626F3F">
        <w:trPr>
          <w:trHeight w:val="244"/>
        </w:trPr>
        <w:tc>
          <w:tcPr>
            <w:tcW w:w="9746" w:type="dxa"/>
            <w:gridSpan w:val="2"/>
            <w:tcBorders>
              <w:top w:val="single" w:sz="8" w:space="0" w:color="000000"/>
              <w:bottom w:val="single" w:sz="8" w:space="0" w:color="000000"/>
            </w:tcBorders>
            <w:shd w:val="clear" w:color="auto" w:fill="808080"/>
          </w:tcPr>
          <w:p w14:paraId="2947976B" w14:textId="77777777" w:rsidR="00F71805" w:rsidRDefault="00F71805" w:rsidP="00626F3F">
            <w:pPr>
              <w:pStyle w:val="TableParagraph"/>
              <w:rPr>
                <w:rFonts w:ascii="Times New Roman"/>
                <w:sz w:val="16"/>
              </w:rPr>
            </w:pPr>
          </w:p>
        </w:tc>
      </w:tr>
      <w:tr w:rsidR="00F71805" w14:paraId="5382413C" w14:textId="77777777" w:rsidTr="00626F3F">
        <w:trPr>
          <w:trHeight w:val="239"/>
        </w:trPr>
        <w:tc>
          <w:tcPr>
            <w:tcW w:w="1560" w:type="dxa"/>
            <w:vMerge w:val="restart"/>
            <w:tcBorders>
              <w:top w:val="single" w:sz="8" w:space="0" w:color="000000"/>
              <w:bottom w:val="single" w:sz="8" w:space="0" w:color="000000"/>
              <w:right w:val="single" w:sz="8" w:space="0" w:color="000000"/>
            </w:tcBorders>
            <w:shd w:val="clear" w:color="auto" w:fill="939D9E"/>
          </w:tcPr>
          <w:p w14:paraId="297B70F5" w14:textId="77777777" w:rsidR="00F71805" w:rsidRDefault="00F71805" w:rsidP="00626F3F">
            <w:pPr>
              <w:pStyle w:val="TableParagraph"/>
              <w:spacing w:before="2"/>
              <w:rPr>
                <w:sz w:val="23"/>
              </w:rPr>
            </w:pPr>
          </w:p>
          <w:p w14:paraId="7FA92A70" w14:textId="77777777" w:rsidR="00F71805" w:rsidRDefault="00F71805" w:rsidP="00626F3F">
            <w:pPr>
              <w:pStyle w:val="TableParagraph"/>
              <w:spacing w:line="276" w:lineRule="auto"/>
              <w:ind w:left="465" w:right="223" w:hanging="212"/>
              <w:rPr>
                <w:b/>
                <w:sz w:val="18"/>
              </w:rPr>
            </w:pPr>
            <w:r>
              <w:rPr>
                <w:b/>
                <w:color w:val="FFFFFF"/>
                <w:sz w:val="18"/>
              </w:rPr>
              <w:t>Developing Others</w:t>
            </w:r>
          </w:p>
        </w:tc>
        <w:tc>
          <w:tcPr>
            <w:tcW w:w="8186" w:type="dxa"/>
            <w:tcBorders>
              <w:top w:val="single" w:sz="8" w:space="0" w:color="000000"/>
              <w:left w:val="single" w:sz="8" w:space="0" w:color="000000"/>
            </w:tcBorders>
          </w:tcPr>
          <w:p w14:paraId="17CDF6D0" w14:textId="77777777" w:rsidR="00F71805" w:rsidRDefault="00F71805" w:rsidP="00626F3F">
            <w:pPr>
              <w:pStyle w:val="TableParagraph"/>
              <w:ind w:left="102"/>
              <w:rPr>
                <w:sz w:val="18"/>
              </w:rPr>
            </w:pPr>
            <w:r>
              <w:rPr>
                <w:sz w:val="18"/>
              </w:rPr>
              <w:t>I help to create an environment that engages and motivates others</w:t>
            </w:r>
          </w:p>
        </w:tc>
      </w:tr>
      <w:tr w:rsidR="00F71805" w14:paraId="3757C827" w14:textId="77777777" w:rsidTr="00626F3F">
        <w:trPr>
          <w:trHeight w:val="243"/>
        </w:trPr>
        <w:tc>
          <w:tcPr>
            <w:tcW w:w="1560" w:type="dxa"/>
            <w:vMerge/>
            <w:tcBorders>
              <w:top w:val="nil"/>
              <w:bottom w:val="single" w:sz="8" w:space="0" w:color="000000"/>
              <w:right w:val="single" w:sz="8" w:space="0" w:color="000000"/>
            </w:tcBorders>
            <w:shd w:val="clear" w:color="auto" w:fill="939D9E"/>
          </w:tcPr>
          <w:p w14:paraId="470D7310" w14:textId="77777777" w:rsidR="00F71805" w:rsidRDefault="00F71805" w:rsidP="00626F3F">
            <w:pPr>
              <w:rPr>
                <w:sz w:val="2"/>
                <w:szCs w:val="2"/>
              </w:rPr>
            </w:pPr>
          </w:p>
        </w:tc>
        <w:tc>
          <w:tcPr>
            <w:tcW w:w="8186" w:type="dxa"/>
            <w:tcBorders>
              <w:left w:val="single" w:sz="8" w:space="0" w:color="000000"/>
            </w:tcBorders>
          </w:tcPr>
          <w:p w14:paraId="6A04059A" w14:textId="77777777" w:rsidR="00F71805" w:rsidRDefault="00F71805" w:rsidP="00626F3F">
            <w:pPr>
              <w:pStyle w:val="TableParagraph"/>
              <w:spacing w:before="5"/>
              <w:ind w:left="102"/>
              <w:rPr>
                <w:sz w:val="18"/>
              </w:rPr>
            </w:pPr>
            <w:r>
              <w:rPr>
                <w:sz w:val="18"/>
              </w:rPr>
              <w:t>I take time to support and enable people to be the best they can</w:t>
            </w:r>
          </w:p>
        </w:tc>
      </w:tr>
      <w:tr w:rsidR="00F71805" w14:paraId="3FDF26DF" w14:textId="77777777" w:rsidTr="00626F3F">
        <w:trPr>
          <w:trHeight w:val="241"/>
        </w:trPr>
        <w:tc>
          <w:tcPr>
            <w:tcW w:w="1560" w:type="dxa"/>
            <w:vMerge/>
            <w:tcBorders>
              <w:top w:val="nil"/>
              <w:bottom w:val="single" w:sz="8" w:space="0" w:color="000000"/>
              <w:right w:val="single" w:sz="8" w:space="0" w:color="000000"/>
            </w:tcBorders>
            <w:shd w:val="clear" w:color="auto" w:fill="939D9E"/>
          </w:tcPr>
          <w:p w14:paraId="3DA64687" w14:textId="77777777" w:rsidR="00F71805" w:rsidRDefault="00F71805" w:rsidP="00626F3F">
            <w:pPr>
              <w:rPr>
                <w:sz w:val="2"/>
                <w:szCs w:val="2"/>
              </w:rPr>
            </w:pPr>
          </w:p>
        </w:tc>
        <w:tc>
          <w:tcPr>
            <w:tcW w:w="8186" w:type="dxa"/>
            <w:tcBorders>
              <w:left w:val="single" w:sz="8" w:space="0" w:color="000000"/>
            </w:tcBorders>
          </w:tcPr>
          <w:p w14:paraId="2EEC7206" w14:textId="77777777" w:rsidR="00F71805" w:rsidRDefault="00F71805" w:rsidP="00626F3F">
            <w:pPr>
              <w:pStyle w:val="TableParagraph"/>
              <w:spacing w:before="5"/>
              <w:ind w:left="102"/>
              <w:rPr>
                <w:sz w:val="18"/>
              </w:rPr>
            </w:pPr>
            <w:r>
              <w:rPr>
                <w:sz w:val="18"/>
              </w:rPr>
              <w:t>I recognise and value others’ achievements, give praise and celebrate their success</w:t>
            </w:r>
          </w:p>
        </w:tc>
      </w:tr>
      <w:tr w:rsidR="00F71805" w14:paraId="41F6CD42" w14:textId="77777777" w:rsidTr="00626F3F">
        <w:trPr>
          <w:trHeight w:val="248"/>
        </w:trPr>
        <w:tc>
          <w:tcPr>
            <w:tcW w:w="1560" w:type="dxa"/>
            <w:vMerge/>
            <w:tcBorders>
              <w:top w:val="nil"/>
              <w:bottom w:val="single" w:sz="8" w:space="0" w:color="000000"/>
              <w:right w:val="single" w:sz="8" w:space="0" w:color="000000"/>
            </w:tcBorders>
            <w:shd w:val="clear" w:color="auto" w:fill="939D9E"/>
          </w:tcPr>
          <w:p w14:paraId="6EE318EB" w14:textId="77777777" w:rsidR="00F71805" w:rsidRDefault="00F71805" w:rsidP="00626F3F">
            <w:pPr>
              <w:rPr>
                <w:sz w:val="2"/>
                <w:szCs w:val="2"/>
              </w:rPr>
            </w:pPr>
          </w:p>
        </w:tc>
        <w:tc>
          <w:tcPr>
            <w:tcW w:w="8186" w:type="dxa"/>
            <w:tcBorders>
              <w:left w:val="single" w:sz="8" w:space="0" w:color="000000"/>
              <w:bottom w:val="single" w:sz="8" w:space="0" w:color="000000"/>
            </w:tcBorders>
          </w:tcPr>
          <w:p w14:paraId="193FDC65" w14:textId="77777777" w:rsidR="00F71805" w:rsidRDefault="00F71805" w:rsidP="00626F3F">
            <w:pPr>
              <w:pStyle w:val="TableParagraph"/>
              <w:spacing w:before="8"/>
              <w:ind w:left="102"/>
              <w:rPr>
                <w:sz w:val="18"/>
              </w:rPr>
            </w:pPr>
            <w:r>
              <w:rPr>
                <w:sz w:val="18"/>
              </w:rPr>
              <w:t>I deliver balanced feedback to enable others to improve their contribution</w:t>
            </w:r>
          </w:p>
        </w:tc>
      </w:tr>
      <w:tr w:rsidR="00F71805" w14:paraId="43B6F774" w14:textId="77777777" w:rsidTr="00626F3F">
        <w:trPr>
          <w:trHeight w:val="244"/>
        </w:trPr>
        <w:tc>
          <w:tcPr>
            <w:tcW w:w="9746" w:type="dxa"/>
            <w:gridSpan w:val="2"/>
            <w:tcBorders>
              <w:top w:val="single" w:sz="8" w:space="0" w:color="000000"/>
              <w:bottom w:val="single" w:sz="8" w:space="0" w:color="000000"/>
            </w:tcBorders>
            <w:shd w:val="clear" w:color="auto" w:fill="808080"/>
          </w:tcPr>
          <w:p w14:paraId="342D2A27" w14:textId="77777777" w:rsidR="00F71805" w:rsidRDefault="00F71805" w:rsidP="00626F3F">
            <w:pPr>
              <w:pStyle w:val="TableParagraph"/>
              <w:rPr>
                <w:rFonts w:ascii="Times New Roman"/>
                <w:sz w:val="16"/>
              </w:rPr>
            </w:pPr>
          </w:p>
        </w:tc>
      </w:tr>
      <w:tr w:rsidR="00F71805" w14:paraId="46AF184B" w14:textId="77777777" w:rsidTr="00626F3F">
        <w:trPr>
          <w:trHeight w:val="239"/>
        </w:trPr>
        <w:tc>
          <w:tcPr>
            <w:tcW w:w="1560" w:type="dxa"/>
            <w:vMerge w:val="restart"/>
            <w:tcBorders>
              <w:top w:val="single" w:sz="8" w:space="0" w:color="000000"/>
              <w:bottom w:val="single" w:sz="8" w:space="0" w:color="000000"/>
              <w:right w:val="single" w:sz="8" w:space="0" w:color="000000"/>
            </w:tcBorders>
            <w:shd w:val="clear" w:color="auto" w:fill="0097C3"/>
          </w:tcPr>
          <w:p w14:paraId="5D3FFC73" w14:textId="77777777" w:rsidR="00F71805" w:rsidRDefault="00F71805" w:rsidP="00626F3F">
            <w:pPr>
              <w:pStyle w:val="TableParagraph"/>
              <w:rPr>
                <w:sz w:val="20"/>
              </w:rPr>
            </w:pPr>
          </w:p>
          <w:p w14:paraId="7AC4A369" w14:textId="77777777" w:rsidR="00F71805" w:rsidRDefault="00F71805" w:rsidP="00626F3F">
            <w:pPr>
              <w:pStyle w:val="TableParagraph"/>
              <w:spacing w:before="11"/>
              <w:rPr>
                <w:sz w:val="23"/>
              </w:rPr>
            </w:pPr>
          </w:p>
          <w:p w14:paraId="64BDF8F7" w14:textId="77777777" w:rsidR="00F71805" w:rsidRDefault="00F71805" w:rsidP="00626F3F">
            <w:pPr>
              <w:pStyle w:val="TableParagraph"/>
              <w:spacing w:line="276" w:lineRule="auto"/>
              <w:ind w:left="446" w:right="271" w:hanging="147"/>
              <w:rPr>
                <w:b/>
                <w:sz w:val="18"/>
              </w:rPr>
            </w:pPr>
            <w:r>
              <w:rPr>
                <w:b/>
                <w:color w:val="FFFFFF"/>
                <w:sz w:val="18"/>
              </w:rPr>
              <w:t>Delivering Quality</w:t>
            </w:r>
          </w:p>
        </w:tc>
        <w:tc>
          <w:tcPr>
            <w:tcW w:w="8186" w:type="dxa"/>
            <w:tcBorders>
              <w:top w:val="single" w:sz="8" w:space="0" w:color="000000"/>
              <w:left w:val="single" w:sz="8" w:space="0" w:color="000000"/>
            </w:tcBorders>
          </w:tcPr>
          <w:p w14:paraId="67050574" w14:textId="77777777" w:rsidR="00F71805" w:rsidRDefault="00F71805" w:rsidP="00626F3F">
            <w:pPr>
              <w:pStyle w:val="TableParagraph"/>
              <w:spacing w:before="3"/>
              <w:ind w:left="102"/>
              <w:rPr>
                <w:sz w:val="18"/>
              </w:rPr>
            </w:pPr>
            <w:r>
              <w:rPr>
                <w:sz w:val="18"/>
              </w:rPr>
              <w:t>I identify opportunities and take action to be simply better</w:t>
            </w:r>
          </w:p>
        </w:tc>
      </w:tr>
      <w:tr w:rsidR="00F71805" w14:paraId="5135ED55" w14:textId="77777777" w:rsidTr="00626F3F">
        <w:trPr>
          <w:trHeight w:val="488"/>
        </w:trPr>
        <w:tc>
          <w:tcPr>
            <w:tcW w:w="1560" w:type="dxa"/>
            <w:vMerge/>
            <w:tcBorders>
              <w:top w:val="nil"/>
              <w:bottom w:val="single" w:sz="8" w:space="0" w:color="000000"/>
              <w:right w:val="single" w:sz="8" w:space="0" w:color="000000"/>
            </w:tcBorders>
            <w:shd w:val="clear" w:color="auto" w:fill="0097C3"/>
          </w:tcPr>
          <w:p w14:paraId="4643D754" w14:textId="77777777" w:rsidR="00F71805" w:rsidRDefault="00F71805" w:rsidP="00626F3F">
            <w:pPr>
              <w:rPr>
                <w:sz w:val="2"/>
                <w:szCs w:val="2"/>
              </w:rPr>
            </w:pPr>
          </w:p>
        </w:tc>
        <w:tc>
          <w:tcPr>
            <w:tcW w:w="8186" w:type="dxa"/>
            <w:tcBorders>
              <w:left w:val="single" w:sz="8" w:space="0" w:color="000000"/>
            </w:tcBorders>
          </w:tcPr>
          <w:p w14:paraId="33A88270" w14:textId="77777777" w:rsidR="00F71805" w:rsidRDefault="00F71805" w:rsidP="00626F3F">
            <w:pPr>
              <w:pStyle w:val="TableParagraph"/>
              <w:spacing w:before="5"/>
              <w:ind w:left="102"/>
              <w:rPr>
                <w:sz w:val="18"/>
              </w:rPr>
            </w:pPr>
            <w:r>
              <w:rPr>
                <w:sz w:val="18"/>
              </w:rPr>
              <w:t>I plan and prioritise efficiently and effectively, taking account of people, processes and</w:t>
            </w:r>
          </w:p>
          <w:p w14:paraId="62A0E31E" w14:textId="77777777" w:rsidR="00F71805" w:rsidRDefault="00F71805" w:rsidP="00626F3F">
            <w:pPr>
              <w:pStyle w:val="TableParagraph"/>
              <w:spacing w:before="33"/>
              <w:ind w:left="102"/>
              <w:rPr>
                <w:sz w:val="18"/>
              </w:rPr>
            </w:pPr>
            <w:r>
              <w:rPr>
                <w:sz w:val="18"/>
              </w:rPr>
              <w:t>resources</w:t>
            </w:r>
          </w:p>
        </w:tc>
      </w:tr>
      <w:tr w:rsidR="00F71805" w14:paraId="5C2441C0" w14:textId="77777777" w:rsidTr="00626F3F">
        <w:trPr>
          <w:trHeight w:val="486"/>
        </w:trPr>
        <w:tc>
          <w:tcPr>
            <w:tcW w:w="1560" w:type="dxa"/>
            <w:vMerge/>
            <w:tcBorders>
              <w:top w:val="nil"/>
              <w:bottom w:val="single" w:sz="8" w:space="0" w:color="000000"/>
              <w:right w:val="single" w:sz="8" w:space="0" w:color="000000"/>
            </w:tcBorders>
            <w:shd w:val="clear" w:color="auto" w:fill="0097C3"/>
          </w:tcPr>
          <w:p w14:paraId="1CDEC440" w14:textId="77777777" w:rsidR="00F71805" w:rsidRDefault="00F71805" w:rsidP="00626F3F">
            <w:pPr>
              <w:rPr>
                <w:sz w:val="2"/>
                <w:szCs w:val="2"/>
              </w:rPr>
            </w:pPr>
          </w:p>
        </w:tc>
        <w:tc>
          <w:tcPr>
            <w:tcW w:w="8186" w:type="dxa"/>
            <w:tcBorders>
              <w:left w:val="single" w:sz="8" w:space="0" w:color="000000"/>
            </w:tcBorders>
          </w:tcPr>
          <w:p w14:paraId="291B9415" w14:textId="77777777" w:rsidR="00F71805" w:rsidRDefault="00F71805" w:rsidP="00626F3F">
            <w:pPr>
              <w:pStyle w:val="TableParagraph"/>
              <w:spacing w:before="5"/>
              <w:ind w:left="102"/>
              <w:rPr>
                <w:sz w:val="18"/>
              </w:rPr>
            </w:pPr>
            <w:r>
              <w:rPr>
                <w:sz w:val="18"/>
              </w:rPr>
              <w:t>I am accountable, for tackling issues, making difficult decisions and seeing them through</w:t>
            </w:r>
          </w:p>
          <w:p w14:paraId="220CB263" w14:textId="77777777" w:rsidR="00F71805" w:rsidRDefault="00F71805" w:rsidP="00626F3F">
            <w:pPr>
              <w:pStyle w:val="TableParagraph"/>
              <w:spacing w:before="33"/>
              <w:ind w:left="102"/>
              <w:rPr>
                <w:sz w:val="18"/>
              </w:rPr>
            </w:pPr>
            <w:r>
              <w:rPr>
                <w:sz w:val="18"/>
              </w:rPr>
              <w:t>to conclusion</w:t>
            </w:r>
          </w:p>
        </w:tc>
      </w:tr>
      <w:tr w:rsidR="00F71805" w14:paraId="13255B8A" w14:textId="77777777" w:rsidTr="00626F3F">
        <w:trPr>
          <w:trHeight w:val="248"/>
        </w:trPr>
        <w:tc>
          <w:tcPr>
            <w:tcW w:w="1560" w:type="dxa"/>
            <w:vMerge/>
            <w:tcBorders>
              <w:top w:val="nil"/>
              <w:bottom w:val="single" w:sz="8" w:space="0" w:color="000000"/>
              <w:right w:val="single" w:sz="8" w:space="0" w:color="000000"/>
            </w:tcBorders>
            <w:shd w:val="clear" w:color="auto" w:fill="0097C3"/>
          </w:tcPr>
          <w:p w14:paraId="75FB4F05" w14:textId="77777777" w:rsidR="00F71805" w:rsidRDefault="00F71805" w:rsidP="00626F3F">
            <w:pPr>
              <w:rPr>
                <w:sz w:val="2"/>
                <w:szCs w:val="2"/>
              </w:rPr>
            </w:pPr>
          </w:p>
        </w:tc>
        <w:tc>
          <w:tcPr>
            <w:tcW w:w="8186" w:type="dxa"/>
            <w:tcBorders>
              <w:left w:val="single" w:sz="8" w:space="0" w:color="000000"/>
              <w:bottom w:val="single" w:sz="8" w:space="0" w:color="000000"/>
            </w:tcBorders>
          </w:tcPr>
          <w:p w14:paraId="45135EB7" w14:textId="77777777" w:rsidR="00F71805" w:rsidRDefault="00F71805" w:rsidP="00626F3F">
            <w:pPr>
              <w:pStyle w:val="TableParagraph"/>
              <w:spacing w:before="5"/>
              <w:ind w:left="102"/>
              <w:rPr>
                <w:sz w:val="18"/>
              </w:rPr>
            </w:pPr>
            <w:r>
              <w:rPr>
                <w:sz w:val="18"/>
              </w:rPr>
              <w:t>I encourage creativity and innovation to deliver workable solutions</w:t>
            </w:r>
          </w:p>
        </w:tc>
      </w:tr>
      <w:tr w:rsidR="00F71805" w14:paraId="6CC07BBF" w14:textId="77777777" w:rsidTr="00626F3F">
        <w:trPr>
          <w:trHeight w:val="243"/>
        </w:trPr>
        <w:tc>
          <w:tcPr>
            <w:tcW w:w="9746" w:type="dxa"/>
            <w:gridSpan w:val="2"/>
            <w:tcBorders>
              <w:top w:val="single" w:sz="8" w:space="0" w:color="000000"/>
              <w:bottom w:val="single" w:sz="8" w:space="0" w:color="000000"/>
            </w:tcBorders>
            <w:shd w:val="clear" w:color="auto" w:fill="808080"/>
          </w:tcPr>
          <w:p w14:paraId="1B35746F" w14:textId="77777777" w:rsidR="00F71805" w:rsidRDefault="00F71805" w:rsidP="00626F3F">
            <w:pPr>
              <w:pStyle w:val="TableParagraph"/>
              <w:rPr>
                <w:rFonts w:ascii="Times New Roman"/>
                <w:sz w:val="16"/>
              </w:rPr>
            </w:pPr>
          </w:p>
        </w:tc>
      </w:tr>
      <w:tr w:rsidR="00F71805" w14:paraId="15B80F5C" w14:textId="77777777" w:rsidTr="00626F3F">
        <w:trPr>
          <w:trHeight w:val="244"/>
        </w:trPr>
        <w:tc>
          <w:tcPr>
            <w:tcW w:w="1560" w:type="dxa"/>
            <w:vMerge w:val="restart"/>
            <w:tcBorders>
              <w:top w:val="single" w:sz="8" w:space="0" w:color="000000"/>
              <w:right w:val="single" w:sz="8" w:space="0" w:color="000000"/>
            </w:tcBorders>
            <w:shd w:val="clear" w:color="auto" w:fill="51616E"/>
          </w:tcPr>
          <w:p w14:paraId="2F583BC9" w14:textId="77777777" w:rsidR="00F71805" w:rsidRDefault="00F71805" w:rsidP="00626F3F">
            <w:pPr>
              <w:pStyle w:val="TableParagraph"/>
              <w:rPr>
                <w:sz w:val="20"/>
              </w:rPr>
            </w:pPr>
          </w:p>
          <w:p w14:paraId="66FA48FC" w14:textId="77777777" w:rsidR="00F71805" w:rsidRDefault="00F71805" w:rsidP="00626F3F">
            <w:pPr>
              <w:pStyle w:val="TableParagraph"/>
              <w:rPr>
                <w:sz w:val="24"/>
              </w:rPr>
            </w:pPr>
          </w:p>
          <w:p w14:paraId="2ACEE9E1" w14:textId="77777777" w:rsidR="00F71805" w:rsidRDefault="00F71805" w:rsidP="00626F3F">
            <w:pPr>
              <w:pStyle w:val="TableParagraph"/>
              <w:spacing w:line="276" w:lineRule="auto"/>
              <w:ind w:left="151" w:right="117" w:firstLine="283"/>
              <w:rPr>
                <w:b/>
                <w:sz w:val="18"/>
              </w:rPr>
            </w:pPr>
            <w:r>
              <w:rPr>
                <w:b/>
                <w:color w:val="FFFFFF"/>
                <w:sz w:val="18"/>
              </w:rPr>
              <w:t>Driving Sustainability</w:t>
            </w:r>
          </w:p>
        </w:tc>
        <w:tc>
          <w:tcPr>
            <w:tcW w:w="8186" w:type="dxa"/>
            <w:tcBorders>
              <w:top w:val="single" w:sz="8" w:space="0" w:color="000000"/>
              <w:left w:val="single" w:sz="8" w:space="0" w:color="000000"/>
            </w:tcBorders>
          </w:tcPr>
          <w:p w14:paraId="5EEF19A7" w14:textId="77777777" w:rsidR="00F71805" w:rsidRDefault="00F71805" w:rsidP="00626F3F">
            <w:pPr>
              <w:pStyle w:val="TableParagraph"/>
              <w:spacing w:before="1"/>
              <w:ind w:left="102"/>
              <w:rPr>
                <w:sz w:val="18"/>
              </w:rPr>
            </w:pPr>
            <w:r>
              <w:rPr>
                <w:sz w:val="18"/>
              </w:rPr>
              <w:t>I consider the impact on people before taking decisions or actions that may affect them</w:t>
            </w:r>
          </w:p>
        </w:tc>
      </w:tr>
      <w:tr w:rsidR="00F71805" w14:paraId="5E90AD18" w14:textId="77777777" w:rsidTr="00626F3F">
        <w:trPr>
          <w:trHeight w:val="253"/>
        </w:trPr>
        <w:tc>
          <w:tcPr>
            <w:tcW w:w="1560" w:type="dxa"/>
            <w:vMerge/>
            <w:tcBorders>
              <w:top w:val="nil"/>
              <w:right w:val="single" w:sz="8" w:space="0" w:color="000000"/>
            </w:tcBorders>
            <w:shd w:val="clear" w:color="auto" w:fill="51616E"/>
          </w:tcPr>
          <w:p w14:paraId="51320148" w14:textId="77777777" w:rsidR="00F71805" w:rsidRDefault="00F71805" w:rsidP="00626F3F">
            <w:pPr>
              <w:rPr>
                <w:sz w:val="2"/>
                <w:szCs w:val="2"/>
              </w:rPr>
            </w:pPr>
          </w:p>
        </w:tc>
        <w:tc>
          <w:tcPr>
            <w:tcW w:w="8186" w:type="dxa"/>
            <w:tcBorders>
              <w:left w:val="single" w:sz="8" w:space="0" w:color="000000"/>
            </w:tcBorders>
          </w:tcPr>
          <w:p w14:paraId="0667FE3A" w14:textId="77777777" w:rsidR="00F71805" w:rsidRDefault="00F71805" w:rsidP="00626F3F">
            <w:pPr>
              <w:pStyle w:val="TableParagraph"/>
              <w:spacing w:before="10"/>
              <w:ind w:left="102"/>
              <w:rPr>
                <w:sz w:val="18"/>
              </w:rPr>
            </w:pPr>
            <w:r>
              <w:rPr>
                <w:sz w:val="18"/>
              </w:rPr>
              <w:t>I embrace, enable and embed change effectively</w:t>
            </w:r>
          </w:p>
        </w:tc>
      </w:tr>
      <w:tr w:rsidR="00F71805" w14:paraId="21ED596A" w14:textId="77777777" w:rsidTr="00626F3F">
        <w:trPr>
          <w:trHeight w:val="496"/>
        </w:trPr>
        <w:tc>
          <w:tcPr>
            <w:tcW w:w="1560" w:type="dxa"/>
            <w:vMerge/>
            <w:tcBorders>
              <w:top w:val="nil"/>
              <w:right w:val="single" w:sz="8" w:space="0" w:color="000000"/>
            </w:tcBorders>
            <w:shd w:val="clear" w:color="auto" w:fill="51616E"/>
          </w:tcPr>
          <w:p w14:paraId="6F4D4A22" w14:textId="77777777" w:rsidR="00F71805" w:rsidRDefault="00F71805" w:rsidP="00626F3F">
            <w:pPr>
              <w:rPr>
                <w:sz w:val="2"/>
                <w:szCs w:val="2"/>
              </w:rPr>
            </w:pPr>
          </w:p>
        </w:tc>
        <w:tc>
          <w:tcPr>
            <w:tcW w:w="8186" w:type="dxa"/>
            <w:tcBorders>
              <w:left w:val="single" w:sz="8" w:space="0" w:color="000000"/>
            </w:tcBorders>
          </w:tcPr>
          <w:p w14:paraId="0321E115" w14:textId="77777777" w:rsidR="00F71805" w:rsidRDefault="00F71805" w:rsidP="00626F3F">
            <w:pPr>
              <w:pStyle w:val="TableParagraph"/>
              <w:spacing w:before="10"/>
              <w:ind w:left="102"/>
              <w:rPr>
                <w:sz w:val="18"/>
              </w:rPr>
            </w:pPr>
            <w:r>
              <w:rPr>
                <w:sz w:val="18"/>
              </w:rPr>
              <w:t>I regularly take account of external and internal factors, assessing the need to change and</w:t>
            </w:r>
          </w:p>
          <w:p w14:paraId="45C4974E" w14:textId="77777777" w:rsidR="00F71805" w:rsidRDefault="00F71805" w:rsidP="00626F3F">
            <w:pPr>
              <w:pStyle w:val="TableParagraph"/>
              <w:spacing w:before="33"/>
              <w:ind w:left="102"/>
              <w:rPr>
                <w:sz w:val="18"/>
              </w:rPr>
            </w:pPr>
            <w:r>
              <w:rPr>
                <w:sz w:val="18"/>
              </w:rPr>
              <w:t>gaining support to move forward</w:t>
            </w:r>
          </w:p>
        </w:tc>
      </w:tr>
      <w:tr w:rsidR="00F71805" w14:paraId="2ED91CE8" w14:textId="77777777" w:rsidTr="00626F3F">
        <w:trPr>
          <w:trHeight w:val="498"/>
        </w:trPr>
        <w:tc>
          <w:tcPr>
            <w:tcW w:w="1560" w:type="dxa"/>
            <w:vMerge/>
            <w:tcBorders>
              <w:top w:val="nil"/>
              <w:right w:val="single" w:sz="8" w:space="0" w:color="000000"/>
            </w:tcBorders>
            <w:shd w:val="clear" w:color="auto" w:fill="51616E"/>
          </w:tcPr>
          <w:p w14:paraId="298C0C54" w14:textId="77777777" w:rsidR="00F71805" w:rsidRDefault="00F71805" w:rsidP="00626F3F">
            <w:pPr>
              <w:rPr>
                <w:sz w:val="2"/>
                <w:szCs w:val="2"/>
              </w:rPr>
            </w:pPr>
          </w:p>
        </w:tc>
        <w:tc>
          <w:tcPr>
            <w:tcW w:w="8186" w:type="dxa"/>
            <w:tcBorders>
              <w:left w:val="single" w:sz="8" w:space="0" w:color="000000"/>
            </w:tcBorders>
          </w:tcPr>
          <w:p w14:paraId="7CC1BDAA" w14:textId="77777777" w:rsidR="00F71805" w:rsidRDefault="00F71805" w:rsidP="00626F3F">
            <w:pPr>
              <w:pStyle w:val="TableParagraph"/>
              <w:spacing w:before="13"/>
              <w:ind w:left="102"/>
              <w:rPr>
                <w:sz w:val="18"/>
              </w:rPr>
            </w:pPr>
            <w:r>
              <w:rPr>
                <w:sz w:val="18"/>
              </w:rPr>
              <w:t>I take time to understand our University vision and direction and communicate this to</w:t>
            </w:r>
          </w:p>
          <w:p w14:paraId="2F962A14" w14:textId="77777777" w:rsidR="00F71805" w:rsidRDefault="00F71805" w:rsidP="00626F3F">
            <w:pPr>
              <w:pStyle w:val="TableParagraph"/>
              <w:spacing w:before="30"/>
              <w:ind w:left="102"/>
              <w:rPr>
                <w:sz w:val="18"/>
              </w:rPr>
            </w:pPr>
            <w:r>
              <w:rPr>
                <w:sz w:val="18"/>
              </w:rPr>
              <w:t>others</w:t>
            </w:r>
          </w:p>
        </w:tc>
      </w:tr>
    </w:tbl>
    <w:p w14:paraId="5A36A960" w14:textId="77777777" w:rsidR="00F71805" w:rsidRDefault="00F71805" w:rsidP="00F71805">
      <w:pPr>
        <w:rPr>
          <w:sz w:val="52"/>
        </w:rPr>
      </w:pPr>
      <w:r>
        <w:rPr>
          <w:color w:val="808080"/>
          <w:sz w:val="24"/>
        </w:rPr>
        <w:t xml:space="preserve">Appendix 2. </w:t>
      </w:r>
      <w:r w:rsidRPr="00210458">
        <w:rPr>
          <w:color w:val="808080"/>
          <w:sz w:val="32"/>
          <w:szCs w:val="32"/>
        </w:rPr>
        <w:t>Line Manager Expectations</w:t>
      </w:r>
    </w:p>
    <w:p w14:paraId="7E0CB172" w14:textId="77777777" w:rsidR="00F71805" w:rsidRPr="00210458" w:rsidRDefault="00F71805" w:rsidP="00F71805">
      <w:pPr>
        <w:pStyle w:val="BodyText"/>
        <w:spacing w:before="242"/>
        <w:rPr>
          <w:rFonts w:ascii="Lucida Sans" w:hAnsi="Lucida Sans" w:cstheme="minorHAnsi"/>
          <w:b w:val="0"/>
          <w:sz w:val="18"/>
          <w:szCs w:val="18"/>
        </w:rPr>
      </w:pPr>
      <w:r w:rsidRPr="00210458">
        <w:rPr>
          <w:rFonts w:ascii="Lucida Sans" w:hAnsi="Lucida Sans" w:cstheme="minorHAnsi"/>
          <w:b w:val="0"/>
          <w:sz w:val="18"/>
          <w:szCs w:val="18"/>
        </w:rPr>
        <w:t>The statements below provide additional clarity on what is expected of our line managers and supervisors.</w:t>
      </w:r>
    </w:p>
    <w:p w14:paraId="48005FFE" w14:textId="77777777" w:rsidR="00F71805" w:rsidRPr="00210458" w:rsidRDefault="00F71805" w:rsidP="00F71805">
      <w:pPr>
        <w:pStyle w:val="BodyText"/>
        <w:spacing w:before="5"/>
        <w:rPr>
          <w:rFonts w:ascii="Lucida Sans" w:hAnsi="Lucida Sans" w:cstheme="minorHAnsi"/>
          <w:b w:val="0"/>
          <w:sz w:val="18"/>
          <w:szCs w:val="18"/>
        </w:rPr>
      </w:pPr>
    </w:p>
    <w:p w14:paraId="516F7D99" w14:textId="77777777" w:rsidR="00F71805" w:rsidRPr="00210458" w:rsidRDefault="00F71805" w:rsidP="00F71805">
      <w:pPr>
        <w:pStyle w:val="BodyText"/>
        <w:ind w:right="1053"/>
        <w:rPr>
          <w:rFonts w:ascii="Lucida Sans" w:hAnsi="Lucida Sans" w:cstheme="minorHAnsi"/>
          <w:b w:val="0"/>
          <w:sz w:val="18"/>
          <w:szCs w:val="18"/>
        </w:rPr>
      </w:pPr>
      <w:r w:rsidRPr="00210458">
        <w:rPr>
          <w:rFonts w:ascii="Lucida Sans" w:hAnsi="Lucida Sans" w:cstheme="minorHAnsi"/>
          <w:b w:val="0"/>
          <w:sz w:val="18"/>
          <w:szCs w:val="18"/>
        </w:rPr>
        <w:t>Managing People: Manage and support your peoples work productivity, performance, wellbeing and development to maximise their contribution and enable personal growth.</w:t>
      </w:r>
    </w:p>
    <w:p w14:paraId="3D3226C1" w14:textId="77777777" w:rsidR="00F71805" w:rsidRDefault="00F71805" w:rsidP="00F71805">
      <w:pPr>
        <w:pStyle w:val="BodyText"/>
        <w:ind w:right="156"/>
        <w:rPr>
          <w:rFonts w:ascii="Lucida Sans" w:hAnsi="Lucida Sans" w:cstheme="minorHAnsi"/>
          <w:b w:val="0"/>
          <w:sz w:val="18"/>
          <w:szCs w:val="18"/>
        </w:rPr>
      </w:pPr>
    </w:p>
    <w:p w14:paraId="4805A197" w14:textId="77777777" w:rsidR="00F71805" w:rsidRPr="00210458" w:rsidRDefault="00F71805" w:rsidP="00F71805">
      <w:pPr>
        <w:pStyle w:val="BodyText"/>
        <w:ind w:right="156"/>
        <w:rPr>
          <w:rFonts w:ascii="Lucida Sans" w:hAnsi="Lucida Sans" w:cstheme="minorHAnsi"/>
          <w:b w:val="0"/>
          <w:sz w:val="18"/>
          <w:szCs w:val="18"/>
        </w:rPr>
      </w:pPr>
      <w:r w:rsidRPr="00210458">
        <w:rPr>
          <w:rFonts w:ascii="Lucida Sans" w:hAnsi="Lucida Sans" w:cstheme="minorHAnsi"/>
          <w:b w:val="0"/>
          <w:sz w:val="18"/>
          <w:szCs w:val="18"/>
        </w:rPr>
        <w:t>Managing the Student and Customer Experience: Ensuring our students and the customer are at the centre of everything we do, always considering their needs before acting, to ensure we deliver a high quality experience every time.</w:t>
      </w:r>
    </w:p>
    <w:p w14:paraId="1B14F1C7" w14:textId="77777777" w:rsidR="00F71805" w:rsidRPr="00210458" w:rsidRDefault="00F71805" w:rsidP="00F71805">
      <w:pPr>
        <w:pStyle w:val="BodyText"/>
        <w:spacing w:before="3"/>
        <w:rPr>
          <w:rFonts w:ascii="Lucida Sans" w:hAnsi="Lucida Sans" w:cstheme="minorHAnsi"/>
          <w:b w:val="0"/>
          <w:sz w:val="18"/>
          <w:szCs w:val="18"/>
        </w:rPr>
      </w:pPr>
    </w:p>
    <w:p w14:paraId="0D8C238E" w14:textId="77777777" w:rsidR="00F71805" w:rsidRPr="00210458" w:rsidRDefault="00F71805" w:rsidP="00F71805">
      <w:pPr>
        <w:pStyle w:val="BodyText"/>
        <w:ind w:right="400"/>
        <w:rPr>
          <w:rFonts w:ascii="Lucida Sans" w:hAnsi="Lucida Sans" w:cstheme="minorHAnsi"/>
          <w:b w:val="0"/>
          <w:sz w:val="18"/>
          <w:szCs w:val="18"/>
        </w:rPr>
      </w:pPr>
      <w:r w:rsidRPr="00210458">
        <w:rPr>
          <w:rFonts w:ascii="Lucida Sans" w:hAnsi="Lucida Sans" w:cstheme="minorHAnsi"/>
          <w:b w:val="0"/>
          <w:sz w:val="18"/>
          <w:szCs w:val="18"/>
        </w:rPr>
        <w:t>Managing Financial Decisions: Make well informed and timely financial decisions with an understanding of the consequences and impact on the financial sustainability of the University.</w:t>
      </w:r>
    </w:p>
    <w:p w14:paraId="543CC445" w14:textId="77777777" w:rsidR="00F71805" w:rsidRPr="00210458" w:rsidRDefault="00F71805" w:rsidP="00F71805">
      <w:pPr>
        <w:pStyle w:val="BodyText"/>
        <w:spacing w:before="4"/>
        <w:rPr>
          <w:rFonts w:ascii="Lucida Sans" w:hAnsi="Lucida Sans" w:cstheme="minorHAnsi"/>
          <w:b w:val="0"/>
          <w:sz w:val="18"/>
          <w:szCs w:val="18"/>
        </w:rPr>
      </w:pPr>
    </w:p>
    <w:p w14:paraId="3A42620F" w14:textId="77777777" w:rsidR="00F71805" w:rsidRPr="00210458" w:rsidRDefault="00F71805" w:rsidP="00F71805">
      <w:pPr>
        <w:pStyle w:val="BodyText"/>
        <w:ind w:right="793"/>
        <w:rPr>
          <w:rFonts w:ascii="Lucida Sans" w:hAnsi="Lucida Sans" w:cstheme="minorHAnsi"/>
          <w:b w:val="0"/>
          <w:sz w:val="18"/>
          <w:szCs w:val="18"/>
        </w:rPr>
      </w:pPr>
      <w:r w:rsidRPr="00210458">
        <w:rPr>
          <w:rFonts w:ascii="Lucida Sans" w:hAnsi="Lucida Sans" w:cstheme="minorHAnsi"/>
          <w:b w:val="0"/>
          <w:sz w:val="18"/>
          <w:szCs w:val="18"/>
        </w:rPr>
        <w:t>Managing Compliance: Understand and apply the University regulations, policies, guidelines, and legal requirements to ensure continued operational compliance.</w:t>
      </w:r>
    </w:p>
    <w:p w14:paraId="1FB8AEDF" w14:textId="77777777" w:rsidR="00F71805" w:rsidRPr="00210458" w:rsidRDefault="00F71805" w:rsidP="00F71805">
      <w:pPr>
        <w:pStyle w:val="BodyText"/>
        <w:spacing w:before="4"/>
        <w:rPr>
          <w:rFonts w:ascii="Lucida Sans" w:hAnsi="Lucida Sans" w:cstheme="minorHAnsi"/>
          <w:b w:val="0"/>
          <w:sz w:val="18"/>
          <w:szCs w:val="18"/>
        </w:rPr>
      </w:pPr>
    </w:p>
    <w:p w14:paraId="0B195730" w14:textId="77777777" w:rsidR="00F71805" w:rsidRPr="009233A6" w:rsidRDefault="00F71805" w:rsidP="00F71805">
      <w:pPr>
        <w:pStyle w:val="BodyText"/>
        <w:ind w:right="303"/>
        <w:rPr>
          <w:rFonts w:cs="Calibri"/>
          <w:szCs w:val="18"/>
        </w:rPr>
      </w:pPr>
      <w:r w:rsidRPr="00210458">
        <w:rPr>
          <w:rFonts w:ascii="Lucida Sans" w:hAnsi="Lucida Sans" w:cstheme="minorHAnsi"/>
          <w:b w:val="0"/>
          <w:sz w:val="18"/>
          <w:szCs w:val="18"/>
        </w:rPr>
        <w:t>Managing Risk: Identify potential risks, assess probability and impact and take appropriate steps to mitigate the risk or maximise potential benefits.</w:t>
      </w:r>
    </w:p>
    <w:p w14:paraId="4B793E00"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26307" w14:textId="77777777" w:rsidR="006F1378" w:rsidRDefault="006F1378">
      <w:r>
        <w:separator/>
      </w:r>
    </w:p>
    <w:p w14:paraId="48DDFFD9" w14:textId="77777777" w:rsidR="006F1378" w:rsidRDefault="006F1378"/>
  </w:endnote>
  <w:endnote w:type="continuationSeparator" w:id="0">
    <w:p w14:paraId="151FDE66" w14:textId="77777777" w:rsidR="006F1378" w:rsidRDefault="006F1378">
      <w:r>
        <w:continuationSeparator/>
      </w:r>
    </w:p>
    <w:p w14:paraId="02A3A5AE" w14:textId="77777777" w:rsidR="006F1378" w:rsidRDefault="006F13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59614A75" w:rsidR="00062768" w:rsidRDefault="003D6639" w:rsidP="009D7C0D">
    <w:pPr>
      <w:pStyle w:val="ContinuationFooter"/>
    </w:pPr>
    <w:r>
      <w:t xml:space="preserve">Director of Enterprise </w:t>
    </w:r>
    <w:r w:rsidR="009D7C0D">
      <w:t>ERE</w:t>
    </w:r>
    <w:r w:rsidR="00746AEB">
      <w:t xml:space="preserve"> Level </w:t>
    </w:r>
    <w:r w:rsidR="009D7C0D">
      <w:t xml:space="preserve">7 – </w:t>
    </w:r>
    <w:r w:rsidR="00B050FB">
      <w:t>Enterprise</w:t>
    </w:r>
    <w:r w:rsidR="00121E91">
      <w:t xml:space="preserve"> </w:t>
    </w:r>
    <w:r w:rsidR="00C05247">
      <w:t>Pathway</w:t>
    </w:r>
    <w:r w:rsidR="00CB1F23">
      <w:ptab w:relativeTo="margin" w:alignment="right" w:leader="none"/>
    </w:r>
    <w:r w:rsidR="00CB1F23">
      <w:fldChar w:fldCharType="begin"/>
    </w:r>
    <w:r w:rsidR="00CB1F23">
      <w:instrText xml:space="preserve"> PAGE   \* MERGEFORMAT </w:instrText>
    </w:r>
    <w:r w:rsidR="00CB1F23">
      <w:fldChar w:fldCharType="separate"/>
    </w:r>
    <w:r w:rsidR="00F23C60">
      <w:t>5</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6BF62" w14:textId="77777777" w:rsidR="006F1378" w:rsidRDefault="006F1378">
      <w:r>
        <w:separator/>
      </w:r>
    </w:p>
    <w:p w14:paraId="6C68E911" w14:textId="77777777" w:rsidR="006F1378" w:rsidRDefault="006F1378"/>
  </w:footnote>
  <w:footnote w:type="continuationSeparator" w:id="0">
    <w:p w14:paraId="25B40198" w14:textId="77777777" w:rsidR="006F1378" w:rsidRDefault="006F1378">
      <w:r>
        <w:continuationSeparator/>
      </w:r>
    </w:p>
    <w:p w14:paraId="05ADE88F" w14:textId="77777777" w:rsidR="006F1378" w:rsidRDefault="006F13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86" w:type="dxa"/>
      <w:tblLayout w:type="fixed"/>
      <w:tblCellMar>
        <w:left w:w="0" w:type="dxa"/>
        <w:right w:w="0" w:type="dxa"/>
      </w:tblCellMar>
      <w:tblLook w:val="00A0" w:firstRow="1" w:lastRow="0" w:firstColumn="1" w:lastColumn="0" w:noHBand="0" w:noVBand="0"/>
    </w:tblPr>
    <w:tblGrid>
      <w:gridCol w:w="9686"/>
    </w:tblGrid>
    <w:tr w:rsidR="00062768" w14:paraId="15BF0981" w14:textId="77777777" w:rsidTr="000374A6">
      <w:trPr>
        <w:trHeight w:hRule="exact" w:val="83"/>
      </w:trPr>
      <w:tc>
        <w:tcPr>
          <w:tcW w:w="9686" w:type="dxa"/>
        </w:tcPr>
        <w:p w14:paraId="15BF0980" w14:textId="77777777" w:rsidR="00062768" w:rsidRDefault="00062768" w:rsidP="0029789A">
          <w:pPr>
            <w:pStyle w:val="Header"/>
          </w:pPr>
        </w:p>
      </w:tc>
    </w:tr>
    <w:tr w:rsidR="00062768" w14:paraId="15BF0983" w14:textId="77777777" w:rsidTr="000374A6">
      <w:trPr>
        <w:trHeight w:val="436"/>
      </w:trPr>
      <w:tc>
        <w:tcPr>
          <w:tcW w:w="9686"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18EBB7B7" w:rsidR="0005274A" w:rsidRPr="0005274A" w:rsidRDefault="00F84583" w:rsidP="000374A6">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1EA77F8"/>
    <w:multiLevelType w:val="hybridMultilevel"/>
    <w:tmpl w:val="A8F67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561871396">
    <w:abstractNumId w:val="18"/>
  </w:num>
  <w:num w:numId="2" w16cid:durableId="148055204">
    <w:abstractNumId w:val="0"/>
  </w:num>
  <w:num w:numId="3" w16cid:durableId="904878709">
    <w:abstractNumId w:val="14"/>
  </w:num>
  <w:num w:numId="4" w16cid:durableId="1799031667">
    <w:abstractNumId w:val="10"/>
  </w:num>
  <w:num w:numId="5" w16cid:durableId="1287159683">
    <w:abstractNumId w:val="11"/>
  </w:num>
  <w:num w:numId="6" w16cid:durableId="541943589">
    <w:abstractNumId w:val="8"/>
  </w:num>
  <w:num w:numId="7" w16cid:durableId="265313368">
    <w:abstractNumId w:val="3"/>
  </w:num>
  <w:num w:numId="8" w16cid:durableId="117376528">
    <w:abstractNumId w:val="6"/>
  </w:num>
  <w:num w:numId="9" w16cid:durableId="221798836">
    <w:abstractNumId w:val="1"/>
  </w:num>
  <w:num w:numId="10" w16cid:durableId="1898658987">
    <w:abstractNumId w:val="9"/>
  </w:num>
  <w:num w:numId="11" w16cid:durableId="924798472">
    <w:abstractNumId w:val="5"/>
  </w:num>
  <w:num w:numId="12" w16cid:durableId="505751643">
    <w:abstractNumId w:val="15"/>
  </w:num>
  <w:num w:numId="13" w16cid:durableId="1679696683">
    <w:abstractNumId w:val="16"/>
  </w:num>
  <w:num w:numId="14" w16cid:durableId="1033112280">
    <w:abstractNumId w:val="7"/>
  </w:num>
  <w:num w:numId="15" w16cid:durableId="789054697">
    <w:abstractNumId w:val="2"/>
  </w:num>
  <w:num w:numId="16" w16cid:durableId="553353036">
    <w:abstractNumId w:val="12"/>
  </w:num>
  <w:num w:numId="17" w16cid:durableId="1073897370">
    <w:abstractNumId w:val="13"/>
  </w:num>
  <w:num w:numId="18" w16cid:durableId="838423882">
    <w:abstractNumId w:val="17"/>
  </w:num>
  <w:num w:numId="19" w16cid:durableId="1559590393">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374A6"/>
    <w:rsid w:val="0005274A"/>
    <w:rsid w:val="00057DE4"/>
    <w:rsid w:val="00062768"/>
    <w:rsid w:val="00063081"/>
    <w:rsid w:val="00071653"/>
    <w:rsid w:val="000824F4"/>
    <w:rsid w:val="000978E8"/>
    <w:rsid w:val="000B1DED"/>
    <w:rsid w:val="000B3BDD"/>
    <w:rsid w:val="000B4E5A"/>
    <w:rsid w:val="000C2540"/>
    <w:rsid w:val="000F6959"/>
    <w:rsid w:val="00102BCB"/>
    <w:rsid w:val="00113EDE"/>
    <w:rsid w:val="00121E91"/>
    <w:rsid w:val="0012209D"/>
    <w:rsid w:val="001532E2"/>
    <w:rsid w:val="00156CBF"/>
    <w:rsid w:val="00156F2F"/>
    <w:rsid w:val="001579E2"/>
    <w:rsid w:val="0018144C"/>
    <w:rsid w:val="001840EA"/>
    <w:rsid w:val="001B6986"/>
    <w:rsid w:val="001C5C5C"/>
    <w:rsid w:val="001D0B37"/>
    <w:rsid w:val="001D5201"/>
    <w:rsid w:val="001E24BE"/>
    <w:rsid w:val="00205458"/>
    <w:rsid w:val="00206045"/>
    <w:rsid w:val="00217381"/>
    <w:rsid w:val="00236BFE"/>
    <w:rsid w:val="00241441"/>
    <w:rsid w:val="0024539C"/>
    <w:rsid w:val="00254722"/>
    <w:rsid w:val="002547F5"/>
    <w:rsid w:val="00260333"/>
    <w:rsid w:val="00260B1D"/>
    <w:rsid w:val="002627B8"/>
    <w:rsid w:val="00266C6A"/>
    <w:rsid w:val="002752A9"/>
    <w:rsid w:val="0028509A"/>
    <w:rsid w:val="00287575"/>
    <w:rsid w:val="0029789A"/>
    <w:rsid w:val="002A70BE"/>
    <w:rsid w:val="002C6198"/>
    <w:rsid w:val="002D4DF4"/>
    <w:rsid w:val="002E6049"/>
    <w:rsid w:val="002E7C28"/>
    <w:rsid w:val="00312C9E"/>
    <w:rsid w:val="00313CC8"/>
    <w:rsid w:val="003178D9"/>
    <w:rsid w:val="00323B91"/>
    <w:rsid w:val="0034151E"/>
    <w:rsid w:val="00343D93"/>
    <w:rsid w:val="00364B2C"/>
    <w:rsid w:val="003701F7"/>
    <w:rsid w:val="00385622"/>
    <w:rsid w:val="003A2001"/>
    <w:rsid w:val="003B0262"/>
    <w:rsid w:val="003B7540"/>
    <w:rsid w:val="003D6639"/>
    <w:rsid w:val="004022C1"/>
    <w:rsid w:val="00406406"/>
    <w:rsid w:val="004263FE"/>
    <w:rsid w:val="00434133"/>
    <w:rsid w:val="00463797"/>
    <w:rsid w:val="00467596"/>
    <w:rsid w:val="00474D00"/>
    <w:rsid w:val="004755ED"/>
    <w:rsid w:val="004823A1"/>
    <w:rsid w:val="004958A9"/>
    <w:rsid w:val="004B2A50"/>
    <w:rsid w:val="004C0252"/>
    <w:rsid w:val="004C2F78"/>
    <w:rsid w:val="004C68AE"/>
    <w:rsid w:val="004D4966"/>
    <w:rsid w:val="0051744C"/>
    <w:rsid w:val="00524005"/>
    <w:rsid w:val="00525C5B"/>
    <w:rsid w:val="00541CE0"/>
    <w:rsid w:val="005534E1"/>
    <w:rsid w:val="00573487"/>
    <w:rsid w:val="00580CBF"/>
    <w:rsid w:val="005907B3"/>
    <w:rsid w:val="00593BBB"/>
    <w:rsid w:val="005949FA"/>
    <w:rsid w:val="005D3265"/>
    <w:rsid w:val="005D44D1"/>
    <w:rsid w:val="005F7334"/>
    <w:rsid w:val="00601F61"/>
    <w:rsid w:val="00611854"/>
    <w:rsid w:val="00617FAD"/>
    <w:rsid w:val="006249FD"/>
    <w:rsid w:val="00651280"/>
    <w:rsid w:val="0065560D"/>
    <w:rsid w:val="00671195"/>
    <w:rsid w:val="00671F76"/>
    <w:rsid w:val="0067578D"/>
    <w:rsid w:val="00680547"/>
    <w:rsid w:val="00695D76"/>
    <w:rsid w:val="006B1AF6"/>
    <w:rsid w:val="006C0FB7"/>
    <w:rsid w:val="006C71EC"/>
    <w:rsid w:val="006F1378"/>
    <w:rsid w:val="006F44EB"/>
    <w:rsid w:val="00702D64"/>
    <w:rsid w:val="0070376B"/>
    <w:rsid w:val="00720461"/>
    <w:rsid w:val="0074555D"/>
    <w:rsid w:val="00746AEB"/>
    <w:rsid w:val="00761108"/>
    <w:rsid w:val="00766E15"/>
    <w:rsid w:val="00772584"/>
    <w:rsid w:val="00791076"/>
    <w:rsid w:val="0079197B"/>
    <w:rsid w:val="00791A2A"/>
    <w:rsid w:val="007C22CC"/>
    <w:rsid w:val="007C6FAA"/>
    <w:rsid w:val="007E2D19"/>
    <w:rsid w:val="007F2AEA"/>
    <w:rsid w:val="00813365"/>
    <w:rsid w:val="00813A2C"/>
    <w:rsid w:val="0082020C"/>
    <w:rsid w:val="0082075E"/>
    <w:rsid w:val="008443D8"/>
    <w:rsid w:val="00854B1E"/>
    <w:rsid w:val="00856B8A"/>
    <w:rsid w:val="00876272"/>
    <w:rsid w:val="00883499"/>
    <w:rsid w:val="00885FD1"/>
    <w:rsid w:val="008961F9"/>
    <w:rsid w:val="008D315F"/>
    <w:rsid w:val="008D42E3"/>
    <w:rsid w:val="008D52C9"/>
    <w:rsid w:val="008F03C7"/>
    <w:rsid w:val="008F4754"/>
    <w:rsid w:val="009064A9"/>
    <w:rsid w:val="009419A4"/>
    <w:rsid w:val="00945F4B"/>
    <w:rsid w:val="009464AF"/>
    <w:rsid w:val="00954E47"/>
    <w:rsid w:val="009650EF"/>
    <w:rsid w:val="00965BFB"/>
    <w:rsid w:val="00967DA7"/>
    <w:rsid w:val="00970E28"/>
    <w:rsid w:val="0098120F"/>
    <w:rsid w:val="00996476"/>
    <w:rsid w:val="009B66A7"/>
    <w:rsid w:val="009D7C0D"/>
    <w:rsid w:val="00A021B7"/>
    <w:rsid w:val="00A131D9"/>
    <w:rsid w:val="00A14888"/>
    <w:rsid w:val="00A23226"/>
    <w:rsid w:val="00A32ED9"/>
    <w:rsid w:val="00A34296"/>
    <w:rsid w:val="00A3720A"/>
    <w:rsid w:val="00A521A9"/>
    <w:rsid w:val="00A700A6"/>
    <w:rsid w:val="00A7244A"/>
    <w:rsid w:val="00A925C0"/>
    <w:rsid w:val="00AA3CB5"/>
    <w:rsid w:val="00AC2B17"/>
    <w:rsid w:val="00AD3068"/>
    <w:rsid w:val="00AE1CA0"/>
    <w:rsid w:val="00AE39DC"/>
    <w:rsid w:val="00AE4DC4"/>
    <w:rsid w:val="00AF32AC"/>
    <w:rsid w:val="00B02F38"/>
    <w:rsid w:val="00B050FB"/>
    <w:rsid w:val="00B07617"/>
    <w:rsid w:val="00B430BB"/>
    <w:rsid w:val="00B84C12"/>
    <w:rsid w:val="00BB4A42"/>
    <w:rsid w:val="00BB7845"/>
    <w:rsid w:val="00BE6616"/>
    <w:rsid w:val="00BF1CC6"/>
    <w:rsid w:val="00BF51A6"/>
    <w:rsid w:val="00C05247"/>
    <w:rsid w:val="00C31B06"/>
    <w:rsid w:val="00C3746C"/>
    <w:rsid w:val="00C83F50"/>
    <w:rsid w:val="00C907D0"/>
    <w:rsid w:val="00C90EC4"/>
    <w:rsid w:val="00CB1F23"/>
    <w:rsid w:val="00CD04F0"/>
    <w:rsid w:val="00CD159C"/>
    <w:rsid w:val="00CE25E2"/>
    <w:rsid w:val="00CE3A26"/>
    <w:rsid w:val="00D16D9D"/>
    <w:rsid w:val="00D326A0"/>
    <w:rsid w:val="00D3349E"/>
    <w:rsid w:val="00D47910"/>
    <w:rsid w:val="00D50678"/>
    <w:rsid w:val="00D54AA2"/>
    <w:rsid w:val="00D55315"/>
    <w:rsid w:val="00D5587F"/>
    <w:rsid w:val="00D65B56"/>
    <w:rsid w:val="00D67D41"/>
    <w:rsid w:val="00D73BB9"/>
    <w:rsid w:val="00DC1CE3"/>
    <w:rsid w:val="00DC4386"/>
    <w:rsid w:val="00DE553C"/>
    <w:rsid w:val="00E01106"/>
    <w:rsid w:val="00E25775"/>
    <w:rsid w:val="00E264FD"/>
    <w:rsid w:val="00E363B8"/>
    <w:rsid w:val="00E37792"/>
    <w:rsid w:val="00E63AC1"/>
    <w:rsid w:val="00E918C1"/>
    <w:rsid w:val="00E96015"/>
    <w:rsid w:val="00EB589D"/>
    <w:rsid w:val="00EC5423"/>
    <w:rsid w:val="00EC5C0C"/>
    <w:rsid w:val="00ED2E52"/>
    <w:rsid w:val="00ED5E46"/>
    <w:rsid w:val="00EE13FB"/>
    <w:rsid w:val="00EE350A"/>
    <w:rsid w:val="00F01EA0"/>
    <w:rsid w:val="00F135E0"/>
    <w:rsid w:val="00F23C60"/>
    <w:rsid w:val="00F378D2"/>
    <w:rsid w:val="00F71805"/>
    <w:rsid w:val="00F84583"/>
    <w:rsid w:val="00F85DED"/>
    <w:rsid w:val="00F90F90"/>
    <w:rsid w:val="00FB7297"/>
    <w:rsid w:val="00FC2ADA"/>
    <w:rsid w:val="00FE47BF"/>
    <w:rsid w:val="00FE4FE3"/>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FD22B9C0-E545-47F0-A952-4923AB3E2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customStyle="1" w:styleId="TableParagraph">
    <w:name w:val="Table Paragraph"/>
    <w:basedOn w:val="Normal"/>
    <w:uiPriority w:val="1"/>
    <w:qFormat/>
    <w:rsid w:val="00F71805"/>
    <w:pPr>
      <w:widowControl w:val="0"/>
      <w:overflowPunct/>
      <w:adjustRightInd/>
      <w:spacing w:before="0" w:after="0"/>
      <w:textAlignment w:val="auto"/>
    </w:pPr>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t1e11\AppData\Local\Microsoft\Windows\INetCache\Content.MSO\986ADAA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98F80EB46B434F9C5B8D0EFC4AB6A8" ma:contentTypeVersion="8" ma:contentTypeDescription="Create a new document." ma:contentTypeScope="" ma:versionID="203e837151f9b63addd736728eb94161">
  <xsd:schema xmlns:xsd="http://www.w3.org/2001/XMLSchema" xmlns:xs="http://www.w3.org/2001/XMLSchema" xmlns:p="http://schemas.microsoft.com/office/2006/metadata/properties" xmlns:ns1="http://schemas.microsoft.com/sharepoint/v3" xmlns:ns2="445627cd-2fb1-40e1-a694-9ddf2d2c2f9e" xmlns:ns3="92d27f31-0d6d-4349-9928-da0169f2e34c" targetNamespace="http://schemas.microsoft.com/office/2006/metadata/properties" ma:root="true" ma:fieldsID="3a658a83e3aa9819f9927f3c09545223" ns1:_="" ns2:_="" ns3:_="">
    <xsd:import namespace="http://schemas.microsoft.com/sharepoint/v3"/>
    <xsd:import namespace="445627cd-2fb1-40e1-a694-9ddf2d2c2f9e"/>
    <xsd:import namespace="92d27f31-0d6d-4349-9928-da0169f2e3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5627cd-2fb1-40e1-a694-9ddf2d2c2f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d27f31-0d6d-4349-9928-da0169f2e3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4B73E16-FE37-4C19-8013-FD70814CB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5627cd-2fb1-40e1-a694-9ddf2d2c2f9e"/>
    <ds:schemaRef ds:uri="92d27f31-0d6d-4349-9928-da0169f2e3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3B1BD2-3816-44A5-AA64-6A9E45D43F49}">
  <ds:schemaRefs>
    <ds:schemaRef ds:uri="http://schemas.openxmlformats.org/officeDocument/2006/bibliography"/>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986ADAA8.dot</Template>
  <TotalTime>3</TotalTime>
  <Pages>7</Pages>
  <Words>2070</Words>
  <Characters>13160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Head of Professional Specialist Area</vt:lpstr>
    </vt:vector>
  </TitlesOfParts>
  <Company>Southampton University</Company>
  <LinksUpToDate>false</LinksUpToDate>
  <CharactersWithSpaces>15200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Professional Specialist Area</dc:title>
  <dc:creator>Newton-Woof K.</dc:creator>
  <cp:keywords>V0.1</cp:keywords>
  <cp:lastModifiedBy>Laura Costanzo</cp:lastModifiedBy>
  <cp:revision>4</cp:revision>
  <cp:lastPrinted>2008-01-14T17:11:00Z</cp:lastPrinted>
  <dcterms:created xsi:type="dcterms:W3CDTF">2023-05-19T13:51:00Z</dcterms:created>
  <dcterms:modified xsi:type="dcterms:W3CDTF">2023-05-19T14:05:00Z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0x0101000598F80EB46B434F9C5B8D0EFC4AB6A8</vt:lpwstr>
  </property>
</Properties>
</file>